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15B" w:rsidRPr="00D377CC" w:rsidRDefault="00A4115B" w:rsidP="00895801">
      <w:pPr>
        <w:keepNext/>
        <w:keepLines/>
        <w:spacing w:after="0" w:line="360" w:lineRule="auto"/>
        <w:outlineLvl w:val="1"/>
        <w:rPr>
          <w:rFonts w:asciiTheme="minorHAnsi" w:hAnsiTheme="minorHAnsi"/>
          <w:b/>
          <w:color w:val="auto"/>
          <w:sz w:val="28"/>
          <w:szCs w:val="24"/>
        </w:rPr>
      </w:pPr>
      <w:r w:rsidRPr="00D377CC">
        <w:rPr>
          <w:rFonts w:asciiTheme="minorHAnsi" w:hAnsiTheme="minorHAnsi"/>
          <w:b/>
          <w:color w:val="auto"/>
          <w:sz w:val="28"/>
          <w:szCs w:val="24"/>
        </w:rPr>
        <w:t>BF</w:t>
      </w:r>
      <w:r w:rsidR="00D377CC" w:rsidRPr="00D377CC">
        <w:rPr>
          <w:rFonts w:asciiTheme="minorHAnsi" w:hAnsiTheme="minorHAnsi"/>
          <w:b/>
          <w:color w:val="auto"/>
          <w:sz w:val="28"/>
          <w:szCs w:val="24"/>
        </w:rPr>
        <w:t>/SB 7 –</w:t>
      </w:r>
      <w:r w:rsidRPr="00D377CC">
        <w:rPr>
          <w:rFonts w:asciiTheme="minorHAnsi" w:hAnsiTheme="minorHAnsi"/>
          <w:b/>
          <w:color w:val="auto"/>
          <w:sz w:val="28"/>
          <w:szCs w:val="24"/>
        </w:rPr>
        <w:t xml:space="preserve"> Wett</w:t>
      </w:r>
      <w:r w:rsidR="00D377CC" w:rsidRPr="00D377CC">
        <w:rPr>
          <w:rFonts w:asciiTheme="minorHAnsi" w:hAnsiTheme="minorHAnsi"/>
          <w:b/>
          <w:color w:val="auto"/>
          <w:sz w:val="28"/>
          <w:szCs w:val="24"/>
        </w:rPr>
        <w:t>kampfbezogene Prüfungsanforderungen</w:t>
      </w:r>
      <w:r w:rsidR="00D377CC">
        <w:rPr>
          <w:rStyle w:val="Funotenzeichen"/>
          <w:rFonts w:asciiTheme="minorHAnsi" w:hAnsiTheme="minorHAnsi" w:cs="Arial"/>
          <w:b/>
          <w:sz w:val="28"/>
          <w:szCs w:val="24"/>
        </w:rPr>
        <w:footnoteReference w:id="1"/>
      </w:r>
      <w:r w:rsidR="00895801">
        <w:rPr>
          <w:rFonts w:asciiTheme="minorHAnsi" w:hAnsiTheme="minorHAnsi"/>
          <w:b/>
          <w:color w:val="auto"/>
          <w:sz w:val="28"/>
          <w:szCs w:val="24"/>
        </w:rPr>
        <w:t>: Handball</w:t>
      </w:r>
    </w:p>
    <w:p w:rsidR="00A4115B" w:rsidRPr="00A4115B" w:rsidRDefault="00A4115B" w:rsidP="00D377CC">
      <w:pPr>
        <w:tabs>
          <w:tab w:val="left" w:pos="1701"/>
        </w:tabs>
        <w:spacing w:after="0" w:line="240" w:lineRule="auto"/>
        <w:jc w:val="both"/>
        <w:rPr>
          <w:rFonts w:asciiTheme="minorHAnsi" w:hAnsiTheme="minorHAnsi" w:cs="Arial"/>
          <w:szCs w:val="24"/>
        </w:rPr>
      </w:pPr>
      <w:r w:rsidRPr="00A4115B">
        <w:rPr>
          <w:rFonts w:asciiTheme="minorHAnsi" w:hAnsiTheme="minorHAnsi" w:cs="Arial"/>
          <w:szCs w:val="24"/>
        </w:rPr>
        <w:t xml:space="preserve">Die Überprüfung der wettkampfbezogenen Leistung erfolgt unter </w:t>
      </w:r>
      <w:r w:rsidRPr="00D07189">
        <w:rPr>
          <w:rFonts w:asciiTheme="minorHAnsi" w:hAnsiTheme="minorHAnsi" w:cs="Arial"/>
          <w:b/>
          <w:szCs w:val="24"/>
        </w:rPr>
        <w:t>Wettkampfbedingungen im Spiel 7:7</w:t>
      </w:r>
      <w:r w:rsidRPr="00A4115B">
        <w:rPr>
          <w:rFonts w:asciiTheme="minorHAnsi" w:hAnsiTheme="minorHAnsi" w:cs="Arial"/>
          <w:szCs w:val="24"/>
        </w:rPr>
        <w:t xml:space="preserve">. Dabei sind die zentralen Spielhandlungen im Wettkampf vorrangig zu berücksichtigen. Der Beobachtungszeitraum muss so bemessen sein, dass eine wettkampfspezifische Belastung erreicht wird. Außerdem muss der Beobachtungszeitraum eine gesicherte Bewertung ermöglichen. </w:t>
      </w:r>
    </w:p>
    <w:p w:rsidR="00A4115B" w:rsidRPr="00A4115B" w:rsidRDefault="00A4115B" w:rsidP="00D377CC">
      <w:pPr>
        <w:tabs>
          <w:tab w:val="left" w:pos="1701"/>
        </w:tabs>
        <w:spacing w:after="0" w:line="240" w:lineRule="auto"/>
        <w:jc w:val="both"/>
        <w:rPr>
          <w:rFonts w:asciiTheme="minorHAnsi" w:hAnsiTheme="minorHAnsi" w:cs="Arial"/>
          <w:szCs w:val="24"/>
        </w:rPr>
      </w:pPr>
      <w:r w:rsidRPr="00A4115B">
        <w:rPr>
          <w:rFonts w:asciiTheme="minorHAnsi" w:hAnsiTheme="minorHAnsi" w:cs="Arial"/>
          <w:szCs w:val="24"/>
        </w:rPr>
        <w:t xml:space="preserve">Bei der Bewertung der wettkampfbezogenen Leistung sind Verstöße gegen die Spielregeln angemessen zu berücksichtigen. Gehäufte Verstöße führen zur Absenkung der Leistungsbewertung um bis zu zwei Notenpunkte gemäß APO-GOSt §16 Abs. 2 in der Qualifikationsphase. </w:t>
      </w:r>
    </w:p>
    <w:p w:rsidR="00A4115B" w:rsidRPr="00D377CC" w:rsidRDefault="00A4115B" w:rsidP="00D377CC">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76" w:lineRule="auto"/>
        <w:ind w:right="-142"/>
        <w:jc w:val="both"/>
        <w:rPr>
          <w:rFonts w:cs="Times New Roman"/>
          <w:b/>
          <w:color w:val="auto"/>
          <w:bdr w:val="none" w:sz="0" w:space="0" w:color="auto"/>
        </w:rPr>
      </w:pPr>
      <w:r w:rsidRPr="00D377CC">
        <w:rPr>
          <w:rFonts w:cs="Times New Roman"/>
          <w:b/>
          <w:color w:val="auto"/>
          <w:bdr w:val="none" w:sz="0" w:space="0" w:color="auto"/>
        </w:rPr>
        <w:t>Beobachtungsschwerpunkte</w:t>
      </w:r>
    </w:p>
    <w:p w:rsidR="00A4115B" w:rsidRPr="00D377CC" w:rsidRDefault="00A4115B" w:rsidP="00B07D18">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D377CC">
        <w:rPr>
          <w:rFonts w:cs="Times New Roman"/>
          <w:color w:val="auto"/>
          <w:szCs w:val="20"/>
          <w:bdr w:val="none" w:sz="0" w:space="0" w:color="auto"/>
        </w:rPr>
        <w:t>Situationsgerechte Anwendung individualtaktisch-kognitiver Entscheidungen im Spiel</w:t>
      </w:r>
    </w:p>
    <w:p w:rsidR="00A4115B" w:rsidRPr="00D377CC" w:rsidRDefault="00A4115B" w:rsidP="00B07D18">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D377CC">
        <w:rPr>
          <w:rFonts w:cs="Times New Roman"/>
          <w:color w:val="auto"/>
          <w:szCs w:val="20"/>
          <w:bdr w:val="none" w:sz="0" w:space="0" w:color="auto"/>
        </w:rPr>
        <w:t>Situationsgerechte Anwendung gruppentaktisch-kognitiver Entscheidungen im Spiel</w:t>
      </w:r>
    </w:p>
    <w:p w:rsidR="00A4115B" w:rsidRPr="00D377CC" w:rsidRDefault="00A4115B" w:rsidP="00B07D18">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Cs w:val="20"/>
          <w:bdr w:val="none" w:sz="0" w:space="0" w:color="auto"/>
        </w:rPr>
      </w:pPr>
      <w:r w:rsidRPr="00D377CC">
        <w:rPr>
          <w:rFonts w:cs="Times New Roman"/>
          <w:color w:val="auto"/>
          <w:szCs w:val="20"/>
          <w:bdr w:val="none" w:sz="0" w:space="0" w:color="auto"/>
        </w:rPr>
        <w:t>Situationsgerechte Anwendung mannschaftstaktisch-kognitiver Entscheidungen im Spiel</w:t>
      </w:r>
    </w:p>
    <w:p w:rsidR="00A4115B" w:rsidRPr="00D377CC" w:rsidRDefault="00A4115B" w:rsidP="00B07D18">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142" w:hanging="284"/>
        <w:contextualSpacing/>
        <w:jc w:val="both"/>
        <w:rPr>
          <w:rFonts w:cs="Times New Roman"/>
          <w:color w:val="auto"/>
          <w:szCs w:val="20"/>
          <w:bdr w:val="none" w:sz="0" w:space="0" w:color="auto"/>
        </w:rPr>
      </w:pPr>
      <w:r w:rsidRPr="00D377CC">
        <w:rPr>
          <w:rFonts w:cs="Times New Roman"/>
          <w:color w:val="auto"/>
          <w:szCs w:val="20"/>
          <w:bdr w:val="none" w:sz="0" w:space="0" w:color="auto"/>
        </w:rPr>
        <w:t>Situationsgerechte Anwendung psycho-physischer Fähigkeiten im Spiel</w:t>
      </w:r>
    </w:p>
    <w:p w:rsidR="00A4115B" w:rsidRDefault="00D377CC" w:rsidP="00B51FB9">
      <w:pPr>
        <w:pStyle w:val="Listenabsatz"/>
        <w:keepNext/>
        <w:spacing w:before="120" w:after="0" w:line="240" w:lineRule="auto"/>
        <w:ind w:left="0" w:right="-142"/>
        <w:rPr>
          <w:rFonts w:asciiTheme="minorHAnsi" w:hAnsiTheme="minorHAnsi" w:cs="Arial"/>
          <w:b/>
          <w:szCs w:val="24"/>
        </w:rPr>
      </w:pPr>
      <w:r>
        <w:rPr>
          <w:rFonts w:asciiTheme="minorHAnsi" w:hAnsiTheme="minorHAnsi" w:cs="Arial"/>
          <w:b/>
          <w:szCs w:val="24"/>
        </w:rPr>
        <w:t>Indikatoren</w:t>
      </w:r>
      <w:r w:rsidRPr="00E06FC4">
        <w:rPr>
          <w:rStyle w:val="Funotenzeichen"/>
          <w:rFonts w:asciiTheme="minorHAnsi" w:hAnsiTheme="minorHAnsi" w:cs="Arial"/>
          <w:b/>
          <w:szCs w:val="24"/>
        </w:rPr>
        <w:footnoteReference w:id="2"/>
      </w:r>
      <w:r w:rsidRPr="00E06FC4">
        <w:rPr>
          <w:rFonts w:asciiTheme="minorHAnsi" w:hAnsiTheme="minorHAnsi" w:cs="Arial"/>
          <w:b/>
          <w:szCs w:val="24"/>
        </w:rPr>
        <w:t>:</w:t>
      </w:r>
    </w:p>
    <w:p w:rsidR="00D377CC" w:rsidRPr="00E62419" w:rsidRDefault="00D377CC" w:rsidP="00C5766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Times New Roman"/>
          <w:color w:val="auto"/>
          <w:sz w:val="20"/>
          <w:szCs w:val="20"/>
          <w:bdr w:val="none" w:sz="0" w:space="0" w:color="auto"/>
        </w:rPr>
      </w:pPr>
      <w:r w:rsidRPr="00E62419">
        <w:rPr>
          <w:rFonts w:cs="Times New Roman"/>
          <w:color w:val="auto"/>
          <w:sz w:val="20"/>
          <w:szCs w:val="20"/>
          <w:bdr w:val="none" w:sz="0" w:space="0" w:color="auto"/>
        </w:rPr>
        <w:t>Der Prüfling kann …</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i</w:t>
      </w:r>
      <w:r w:rsidR="00A4115B" w:rsidRPr="00D377CC">
        <w:rPr>
          <w:rFonts w:cs="Times New Roman"/>
          <w:color w:val="auto"/>
          <w:sz w:val="20"/>
          <w:szCs w:val="20"/>
          <w:bdr w:val="none" w:sz="0" w:space="0" w:color="auto"/>
        </w:rPr>
        <w:t xml:space="preserve">m Spiel situationsangemessen Positionen einnehmen </w:t>
      </w:r>
      <w:r w:rsidRPr="00D377CC">
        <w:rPr>
          <w:rFonts w:cs="Times New Roman"/>
          <w:color w:val="auto"/>
          <w:sz w:val="20"/>
          <w:szCs w:val="20"/>
          <w:bdr w:val="none" w:sz="0" w:space="0" w:color="auto"/>
        </w:rPr>
        <w:t>und ggf. aufrechterhalten.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i</w:t>
      </w:r>
      <w:r w:rsidR="00A4115B" w:rsidRPr="00D377CC">
        <w:rPr>
          <w:rFonts w:cs="Times New Roman"/>
          <w:color w:val="auto"/>
          <w:sz w:val="20"/>
          <w:szCs w:val="20"/>
          <w:bdr w:val="none" w:sz="0" w:space="0" w:color="auto"/>
        </w:rPr>
        <w:t>m Spiel grundlegende individualtaktische Verhaltensweisen in Angriff (z. B. Wurf- und Körpertäuschungen zur und gegen die Wurfhand) und Abwehr (z. B. Anspiele verhindern, Abdrängen in ungünstige Wurfpositionen) möglichst zielorientiert und s</w:t>
      </w:r>
      <w:r w:rsidRPr="00D377CC">
        <w:rPr>
          <w:rFonts w:cs="Times New Roman"/>
          <w:color w:val="auto"/>
          <w:sz w:val="20"/>
          <w:szCs w:val="20"/>
          <w:bdr w:val="none" w:sz="0" w:space="0" w:color="auto"/>
        </w:rPr>
        <w:t>ituationsgerecht anwenden.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m</w:t>
      </w:r>
      <w:r w:rsidR="00A4115B" w:rsidRPr="00D377CC">
        <w:rPr>
          <w:rFonts w:cs="Times New Roman"/>
          <w:color w:val="auto"/>
          <w:sz w:val="20"/>
          <w:szCs w:val="20"/>
          <w:bdr w:val="none" w:sz="0" w:space="0" w:color="auto"/>
        </w:rPr>
        <w:t>it seiner Mannschaft situationsangemessen unterschiedliche Gruppen- und Mannschaftstaktiken in Angriff (z. B. Doppelpass, Kreuzen, Sperren, Auflösen zum Kreis, Tempogegenstoß, schnelle Mitte; 2:4-Positionsangriff) und Abwehr (z. B. Heraustreten und Sichern, Übergeben und Übernehmen, Doppelblock; 6:0-Abwehrsystem) möglichst sicher und zielorientier</w:t>
      </w:r>
      <w:r w:rsidRPr="00D377CC">
        <w:rPr>
          <w:rFonts w:cs="Times New Roman"/>
          <w:color w:val="auto"/>
          <w:sz w:val="20"/>
          <w:szCs w:val="20"/>
          <w:bdr w:val="none" w:sz="0" w:space="0" w:color="auto"/>
        </w:rPr>
        <w:t>t anwenden.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i</w:t>
      </w:r>
      <w:r w:rsidR="00A4115B" w:rsidRPr="00D377CC">
        <w:rPr>
          <w:rFonts w:cs="Times New Roman"/>
          <w:color w:val="auto"/>
          <w:sz w:val="20"/>
          <w:szCs w:val="20"/>
          <w:bdr w:val="none" w:sz="0" w:space="0" w:color="auto"/>
        </w:rPr>
        <w:t>m Angriff unterschiedliche Druckbedingungen (z. B. Situationsdruck, Komplexitätsdruck, Zeitdruck, physischer/psychischer Belastungsdruck) aufbauen und die gegnerische Mannsch</w:t>
      </w:r>
      <w:r w:rsidRPr="00D377CC">
        <w:rPr>
          <w:rFonts w:cs="Times New Roman"/>
          <w:color w:val="auto"/>
          <w:sz w:val="20"/>
          <w:szCs w:val="20"/>
          <w:bdr w:val="none" w:sz="0" w:space="0" w:color="auto"/>
        </w:rPr>
        <w:t>aft in Bedrängnis bringen.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i</w:t>
      </w:r>
      <w:r w:rsidR="00A4115B" w:rsidRPr="00D377CC">
        <w:rPr>
          <w:rFonts w:cs="Times New Roman"/>
          <w:color w:val="auto"/>
          <w:sz w:val="20"/>
          <w:szCs w:val="20"/>
          <w:bdr w:val="none" w:sz="0" w:space="0" w:color="auto"/>
        </w:rPr>
        <w:t>n der Abwehr auf unterschiedliche Druckbedingungen der gegnerischen Mannschaft (z.B. Situationsdruck, Komplexitätsdruck, Zeitdruck, physischer/psychischer Belastungsdru</w:t>
      </w:r>
      <w:r w:rsidRPr="00D377CC">
        <w:rPr>
          <w:rFonts w:cs="Times New Roman"/>
          <w:color w:val="auto"/>
          <w:sz w:val="20"/>
          <w:szCs w:val="20"/>
          <w:bdr w:val="none" w:sz="0" w:space="0" w:color="auto"/>
        </w:rPr>
        <w:t>ck) sachgerecht reagieren.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m</w:t>
      </w:r>
      <w:r w:rsidR="00A4115B" w:rsidRPr="00D377CC">
        <w:rPr>
          <w:rFonts w:cs="Times New Roman"/>
          <w:color w:val="auto"/>
          <w:sz w:val="20"/>
          <w:szCs w:val="20"/>
          <w:bdr w:val="none" w:sz="0" w:space="0" w:color="auto"/>
        </w:rPr>
        <w:t>it Mitspielerinnen und Mitspielern unter Einsatz verbaler und nonverbaler Kommunikationsformen zielorientiert in Angriff u</w:t>
      </w:r>
      <w:r w:rsidRPr="00D377CC">
        <w:rPr>
          <w:rFonts w:cs="Times New Roman"/>
          <w:color w:val="auto"/>
          <w:sz w:val="20"/>
          <w:szCs w:val="20"/>
          <w:bdr w:val="none" w:sz="0" w:space="0" w:color="auto"/>
        </w:rPr>
        <w:t>nd Abwehr zusammenspielen.</w:t>
      </w:r>
    </w:p>
    <w:p w:rsidR="00A4115B" w:rsidRPr="00D377CC" w:rsidRDefault="00D377CC" w:rsidP="00B07D18">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284" w:right="-142" w:hanging="284"/>
        <w:contextualSpacing/>
        <w:jc w:val="both"/>
        <w:rPr>
          <w:rFonts w:cs="Times New Roman"/>
          <w:color w:val="auto"/>
          <w:sz w:val="20"/>
          <w:szCs w:val="20"/>
          <w:bdr w:val="none" w:sz="0" w:space="0" w:color="auto"/>
        </w:rPr>
      </w:pPr>
      <w:r>
        <w:rPr>
          <w:rFonts w:cs="Times New Roman"/>
          <w:color w:val="auto"/>
          <w:sz w:val="20"/>
          <w:szCs w:val="20"/>
          <w:bdr w:val="none" w:sz="0" w:space="0" w:color="auto"/>
        </w:rPr>
        <w:t>s</w:t>
      </w:r>
      <w:r w:rsidR="00A4115B" w:rsidRPr="00D377CC">
        <w:rPr>
          <w:rFonts w:cs="Times New Roman"/>
          <w:color w:val="auto"/>
          <w:sz w:val="20"/>
          <w:szCs w:val="20"/>
          <w:bdr w:val="none" w:sz="0" w:space="0" w:color="auto"/>
        </w:rPr>
        <w:t xml:space="preserve">ein Team durch motiviertes, sozial angemessenes und faires sowie auf mannschaftliche Geschlossenheit ausgerichtetes Verhalten unterstützen und für den Spielaufbau Verantwortung übernehmen bzw. </w:t>
      </w:r>
      <w:r w:rsidRPr="00D377CC">
        <w:rPr>
          <w:rFonts w:cs="Times New Roman"/>
          <w:color w:val="auto"/>
          <w:sz w:val="20"/>
          <w:szCs w:val="20"/>
          <w:bdr w:val="none" w:sz="0" w:space="0" w:color="auto"/>
        </w:rPr>
        <w:t>sich an Absprachen halten.</w:t>
      </w:r>
    </w:p>
    <w:p w:rsidR="00A4115B" w:rsidRPr="00D377CC" w:rsidRDefault="00895801" w:rsidP="00D377CC">
      <w:pPr>
        <w:spacing w:before="120" w:after="0"/>
        <w:jc w:val="both"/>
        <w:rPr>
          <w:rFonts w:asciiTheme="minorHAnsi" w:hAnsiTheme="minorHAnsi" w:cs="Arial"/>
          <w:b/>
          <w:sz w:val="20"/>
          <w:szCs w:val="24"/>
        </w:rPr>
      </w:pPr>
      <w:r>
        <w:rPr>
          <w:rFonts w:asciiTheme="minorHAnsi" w:hAnsiTheme="minorHAnsi" w:cs="Arial"/>
          <w:b/>
          <w:sz w:val="20"/>
          <w:szCs w:val="24"/>
        </w:rPr>
        <w:t>Leistungsbewertung</w:t>
      </w:r>
      <w:r w:rsidR="00D377CC" w:rsidRPr="00E06FC4">
        <w:rPr>
          <w:rFonts w:asciiTheme="minorHAnsi" w:hAnsiTheme="minorHAnsi" w:cs="Arial"/>
          <w:b/>
          <w:sz w:val="20"/>
          <w:szCs w:val="24"/>
          <w:vertAlign w:val="superscript"/>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103"/>
      </w:tblGrid>
      <w:tr w:rsidR="00A4115B" w:rsidRPr="00645475" w:rsidTr="00E73BF2">
        <w:trPr>
          <w:trHeight w:val="1536"/>
        </w:trPr>
        <w:tc>
          <w:tcPr>
            <w:tcW w:w="4707" w:type="dxa"/>
            <w:shd w:val="clear" w:color="auto" w:fill="auto"/>
          </w:tcPr>
          <w:p w:rsidR="00A4115B" w:rsidRPr="00E73BF2" w:rsidRDefault="00A4115B" w:rsidP="00E73BF2">
            <w:pPr>
              <w:spacing w:before="60" w:after="60"/>
              <w:jc w:val="both"/>
              <w:rPr>
                <w:rFonts w:asciiTheme="minorHAnsi" w:hAnsiTheme="minorHAnsi" w:cstheme="minorHAnsi"/>
                <w:b/>
                <w:i/>
              </w:rPr>
            </w:pPr>
            <w:r w:rsidRPr="00E73BF2">
              <w:rPr>
                <w:rFonts w:asciiTheme="minorHAnsi" w:hAnsiTheme="minorHAnsi" w:cstheme="minorHAnsi"/>
                <w:b/>
                <w:i/>
              </w:rPr>
              <w:t xml:space="preserve">Gut </w:t>
            </w:r>
          </w:p>
          <w:p w:rsidR="00D31846" w:rsidRPr="00E73BF2" w:rsidRDefault="00D31846" w:rsidP="00E73BF2">
            <w:pPr>
              <w:pStyle w:val="FarbigeListe-Akzent11"/>
              <w:pBdr>
                <w:top w:val="nil"/>
                <w:left w:val="nil"/>
                <w:bottom w:val="nil"/>
                <w:right w:val="nil"/>
                <w:between w:val="nil"/>
                <w:bar w:val="nil"/>
              </w:pBdr>
              <w:tabs>
                <w:tab w:val="left" w:pos="1701"/>
              </w:tabs>
              <w:spacing w:after="0" w:line="240" w:lineRule="auto"/>
              <w:ind w:left="0"/>
              <w:contextualSpacing w:val="0"/>
              <w:jc w:val="both"/>
              <w:rPr>
                <w:sz w:val="20"/>
              </w:rPr>
            </w:pPr>
            <w:r w:rsidRPr="00E73BF2">
              <w:rPr>
                <w:sz w:val="20"/>
              </w:rPr>
              <w:t xml:space="preserve">Der Prüfling zeigt in den jeweiligen handballspezifisch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Fremdwahrnehmung führt auch unter Druckbedingungen zu sachgerechten und situativ angemessenen taktisch-kognitiven Entscheidungen. </w:t>
            </w:r>
          </w:p>
          <w:p w:rsidR="00A4115B" w:rsidRPr="00E73BF2" w:rsidRDefault="00D31846" w:rsidP="00E73BF2">
            <w:pPr>
              <w:pStyle w:val="FarbigeListe-Akzent11"/>
              <w:pBdr>
                <w:top w:val="nil"/>
                <w:left w:val="nil"/>
                <w:bottom w:val="nil"/>
                <w:right w:val="nil"/>
                <w:between w:val="nil"/>
                <w:bar w:val="nil"/>
              </w:pBdr>
              <w:tabs>
                <w:tab w:val="left" w:pos="1701"/>
              </w:tabs>
              <w:spacing w:after="0" w:line="240" w:lineRule="auto"/>
              <w:ind w:left="0"/>
              <w:contextualSpacing w:val="0"/>
              <w:jc w:val="both"/>
              <w:rPr>
                <w:sz w:val="18"/>
              </w:rPr>
            </w:pPr>
            <w:r w:rsidRPr="00E73BF2">
              <w:rPr>
                <w:sz w:val="20"/>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5103" w:type="dxa"/>
            <w:shd w:val="clear" w:color="auto" w:fill="auto"/>
          </w:tcPr>
          <w:p w:rsidR="00A4115B" w:rsidRDefault="00A4115B" w:rsidP="00D31846">
            <w:pPr>
              <w:spacing w:before="60" w:after="60"/>
              <w:jc w:val="both"/>
              <w:rPr>
                <w:rFonts w:asciiTheme="minorHAnsi" w:hAnsiTheme="minorHAnsi" w:cstheme="minorHAnsi"/>
                <w:b/>
                <w:i/>
              </w:rPr>
            </w:pPr>
            <w:r w:rsidRPr="00645475">
              <w:rPr>
                <w:rFonts w:asciiTheme="minorHAnsi" w:hAnsiTheme="minorHAnsi" w:cstheme="minorHAnsi"/>
                <w:b/>
                <w:i/>
              </w:rPr>
              <w:t>Ausreichend</w:t>
            </w:r>
          </w:p>
          <w:p w:rsidR="00D31846" w:rsidRPr="00E73BF2" w:rsidRDefault="00D31846" w:rsidP="00E73BF2">
            <w:pPr>
              <w:pStyle w:val="FarbigeListe-Akzent11"/>
              <w:tabs>
                <w:tab w:val="left" w:pos="1701"/>
              </w:tabs>
              <w:spacing w:after="0" w:line="240" w:lineRule="auto"/>
              <w:ind w:left="0"/>
              <w:contextualSpacing w:val="0"/>
              <w:jc w:val="both"/>
              <w:rPr>
                <w:sz w:val="20"/>
              </w:rPr>
            </w:pPr>
            <w:r w:rsidRPr="00E73BF2">
              <w:rPr>
                <w:sz w:val="20"/>
              </w:rPr>
              <w:t xml:space="preserve">Der Prüfling zeigt in den jeweiligen handballspezifisch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rsidR="00D31846" w:rsidRPr="00E73BF2" w:rsidRDefault="00D31846" w:rsidP="00E73BF2">
            <w:pPr>
              <w:pStyle w:val="FarbigeListe-Akzent11"/>
              <w:tabs>
                <w:tab w:val="left" w:pos="1701"/>
              </w:tabs>
              <w:spacing w:after="0" w:line="240" w:lineRule="auto"/>
              <w:ind w:left="0"/>
              <w:contextualSpacing w:val="0"/>
              <w:jc w:val="both"/>
              <w:rPr>
                <w:sz w:val="20"/>
              </w:rPr>
            </w:pPr>
            <w:r w:rsidRPr="00E73BF2">
              <w:rPr>
                <w:sz w:val="20"/>
              </w:rPr>
              <w:t xml:space="preserve">Der Prüfling kommuniziert innerhalb seiner Mannschaft kaum angemessen und kann für sich und andere selten Verantwortung übernehmen sowie sein Team angemessen motivieren. Dabei zeigt er über längere Zeit eine eingeschränkte Leistungs- und Anstrengungsbereitschaft, die sich auch durch eine geringe Frustrationstoleranz zeigt. </w:t>
            </w:r>
          </w:p>
        </w:tc>
      </w:tr>
    </w:tbl>
    <w:p w:rsidR="00E73BF2" w:rsidRDefault="00E73BF2" w:rsidP="00D377CC">
      <w:pPr>
        <w:spacing w:after="0"/>
        <w:jc w:val="center"/>
        <w:rPr>
          <w:rFonts w:asciiTheme="minorHAnsi" w:hAnsiTheme="minorHAnsi"/>
          <w:b/>
          <w:sz w:val="28"/>
          <w:szCs w:val="28"/>
          <w:u w:val="single"/>
        </w:rPr>
        <w:sectPr w:rsidR="00E73BF2" w:rsidSect="00FA2228">
          <w:pgSz w:w="11899" w:h="17340"/>
          <w:pgMar w:top="851" w:right="838" w:bottom="567" w:left="1163" w:header="426" w:footer="720" w:gutter="0"/>
          <w:cols w:space="720"/>
          <w:noEndnote/>
        </w:sectPr>
      </w:pPr>
    </w:p>
    <w:p w:rsidR="00D377CC" w:rsidRPr="004B2F29" w:rsidRDefault="002D0864" w:rsidP="00D377CC">
      <w:pPr>
        <w:spacing w:after="0"/>
        <w:jc w:val="center"/>
        <w:rPr>
          <w:rFonts w:asciiTheme="minorHAnsi" w:hAnsiTheme="minorHAnsi"/>
          <w:b/>
          <w:sz w:val="28"/>
          <w:szCs w:val="28"/>
          <w:u w:val="single"/>
        </w:rPr>
      </w:pPr>
      <w:r>
        <w:rPr>
          <w:rFonts w:asciiTheme="minorHAnsi" w:hAnsiTheme="minorHAnsi"/>
          <w:b/>
          <w:sz w:val="28"/>
          <w:szCs w:val="28"/>
          <w:u w:val="single"/>
        </w:rPr>
        <w:lastRenderedPageBreak/>
        <w:t>Beobachtungsbogen</w:t>
      </w:r>
      <w:r w:rsidR="00895801">
        <w:rPr>
          <w:rFonts w:asciiTheme="minorHAnsi" w:hAnsiTheme="minorHAnsi"/>
          <w:b/>
          <w:sz w:val="28"/>
          <w:szCs w:val="28"/>
          <w:u w:val="single"/>
        </w:rPr>
        <w:t xml:space="preserve"> </w:t>
      </w:r>
      <w:r w:rsidR="00D377CC">
        <w:rPr>
          <w:rFonts w:asciiTheme="minorHAnsi" w:hAnsiTheme="minorHAnsi"/>
          <w:b/>
          <w:sz w:val="28"/>
          <w:szCs w:val="28"/>
          <w:u w:val="single"/>
        </w:rPr>
        <w:t>Hand</w:t>
      </w:r>
      <w:r w:rsidR="00895801">
        <w:rPr>
          <w:rFonts w:asciiTheme="minorHAnsi" w:hAnsiTheme="minorHAnsi"/>
          <w:b/>
          <w:sz w:val="28"/>
          <w:szCs w:val="28"/>
          <w:u w:val="single"/>
        </w:rPr>
        <w:t>ball</w:t>
      </w:r>
      <w:r w:rsidR="002B0B7F">
        <w:rPr>
          <w:rFonts w:asciiTheme="minorHAnsi" w:hAnsiTheme="minorHAnsi"/>
          <w:b/>
          <w:sz w:val="28"/>
          <w:szCs w:val="28"/>
          <w:u w:val="single"/>
        </w:rPr>
        <w:t>:</w:t>
      </w:r>
      <w:r w:rsidR="00D377CC" w:rsidRPr="004B2F29">
        <w:rPr>
          <w:rFonts w:asciiTheme="minorHAnsi" w:hAnsiTheme="minorHAnsi"/>
          <w:b/>
          <w:sz w:val="28"/>
          <w:szCs w:val="28"/>
          <w:u w:val="single"/>
        </w:rPr>
        <w:t xml:space="preserve"> </w:t>
      </w:r>
      <w:r w:rsidR="00D07189">
        <w:rPr>
          <w:rFonts w:asciiTheme="minorHAnsi" w:hAnsiTheme="minorHAnsi"/>
          <w:b/>
          <w:sz w:val="28"/>
          <w:szCs w:val="28"/>
          <w:u w:val="single"/>
        </w:rPr>
        <w:t>W</w:t>
      </w:r>
      <w:r w:rsidR="00D377CC" w:rsidRPr="004B2F29">
        <w:rPr>
          <w:rFonts w:asciiTheme="minorHAnsi" w:hAnsiTheme="minorHAnsi"/>
          <w:b/>
          <w:sz w:val="28"/>
          <w:szCs w:val="28"/>
          <w:u w:val="single"/>
        </w:rPr>
        <w:t>ettkampf</w:t>
      </w:r>
      <w:r w:rsidR="00D377CC">
        <w:rPr>
          <w:rFonts w:asciiTheme="minorHAnsi" w:hAnsiTheme="minorHAnsi"/>
          <w:b/>
          <w:sz w:val="28"/>
          <w:szCs w:val="28"/>
          <w:u w:val="single"/>
        </w:rPr>
        <w:t>bezogene</w:t>
      </w:r>
      <w:r w:rsidR="00D377CC" w:rsidRPr="004B2F29">
        <w:rPr>
          <w:rFonts w:asciiTheme="minorHAnsi" w:hAnsiTheme="minorHAnsi"/>
          <w:b/>
          <w:sz w:val="28"/>
          <w:szCs w:val="28"/>
          <w:u w:val="single"/>
        </w:rPr>
        <w:t xml:space="preserve"> Leistungen</w:t>
      </w:r>
    </w:p>
    <w:p w:rsidR="00D377CC" w:rsidRPr="004B2F29" w:rsidRDefault="00D377CC" w:rsidP="00895801">
      <w:pPr>
        <w:tabs>
          <w:tab w:val="left" w:pos="6804"/>
          <w:tab w:val="right" w:pos="9898"/>
        </w:tabs>
        <w:spacing w:before="360" w:after="0"/>
        <w:jc w:val="both"/>
        <w:rPr>
          <w:rFonts w:asciiTheme="minorHAnsi" w:hAnsiTheme="minorHAnsi"/>
          <w:sz w:val="28"/>
          <w:szCs w:val="28"/>
          <w:u w:val="single"/>
        </w:rPr>
      </w:pPr>
      <w:r w:rsidRPr="004B2F29">
        <w:rPr>
          <w:rFonts w:asciiTheme="minorHAnsi" w:hAnsiTheme="minorHAnsi"/>
          <w:b/>
          <w:sz w:val="28"/>
          <w:szCs w:val="28"/>
        </w:rPr>
        <w:t xml:space="preserve">Name des Prüflings: </w:t>
      </w:r>
      <w:r w:rsidRPr="004B2F29">
        <w:rPr>
          <w:rFonts w:asciiTheme="minorHAnsi" w:hAnsiTheme="minorHAnsi"/>
          <w:sz w:val="28"/>
          <w:szCs w:val="28"/>
          <w:u w:val="single"/>
        </w:rPr>
        <w:tab/>
      </w:r>
      <w:r w:rsidRPr="004B2F29">
        <w:rPr>
          <w:rFonts w:asciiTheme="minorHAnsi" w:hAnsiTheme="minorHAnsi"/>
          <w:b/>
          <w:sz w:val="28"/>
          <w:szCs w:val="28"/>
        </w:rPr>
        <w:t xml:space="preserve">   Datum</w:t>
      </w:r>
      <w:r w:rsidR="00895801">
        <w:rPr>
          <w:rFonts w:asciiTheme="minorHAnsi" w:hAnsiTheme="minorHAnsi"/>
          <w:b/>
          <w:sz w:val="28"/>
          <w:szCs w:val="28"/>
        </w:rPr>
        <w:t>: _____________</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57"/>
        <w:gridCol w:w="4961"/>
      </w:tblGrid>
      <w:tr w:rsidR="00D377CC" w:rsidRPr="004B2F29" w:rsidTr="002D0864">
        <w:trPr>
          <w:jc w:val="center"/>
        </w:trPr>
        <w:tc>
          <w:tcPr>
            <w:tcW w:w="9918" w:type="dxa"/>
            <w:gridSpan w:val="2"/>
            <w:shd w:val="clear" w:color="auto" w:fill="auto"/>
            <w:vAlign w:val="center"/>
          </w:tcPr>
          <w:p w:rsidR="00D377CC" w:rsidRPr="007021CB" w:rsidRDefault="00D377CC" w:rsidP="00A60E96">
            <w:pPr>
              <w:spacing w:after="0"/>
              <w:jc w:val="both"/>
              <w:rPr>
                <w:rFonts w:asciiTheme="minorHAnsi" w:hAnsiTheme="minorHAnsi"/>
                <w:b/>
                <w:szCs w:val="24"/>
              </w:rPr>
            </w:pPr>
            <w:r w:rsidRPr="007021CB">
              <w:rPr>
                <w:rFonts w:asciiTheme="minorHAnsi" w:hAnsiTheme="minorHAnsi"/>
                <w:b/>
                <w:szCs w:val="24"/>
              </w:rPr>
              <w:t>Beobachtungsschwerpunkte:</w:t>
            </w:r>
          </w:p>
          <w:p w:rsidR="00D377CC" w:rsidRPr="007021CB" w:rsidRDefault="00895801" w:rsidP="00D377C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line="276" w:lineRule="auto"/>
              <w:contextualSpacing/>
              <w:jc w:val="both"/>
              <w:rPr>
                <w:rFonts w:asciiTheme="minorHAnsi" w:hAnsiTheme="minorHAnsi"/>
                <w:szCs w:val="24"/>
              </w:rPr>
            </w:pPr>
            <w:r>
              <w:rPr>
                <w:rFonts w:asciiTheme="minorHAnsi" w:hAnsiTheme="minorHAnsi"/>
                <w:szCs w:val="24"/>
              </w:rPr>
              <w:t xml:space="preserve"> </w:t>
            </w:r>
            <w:r w:rsidR="00D377CC" w:rsidRPr="007021CB">
              <w:rPr>
                <w:rFonts w:asciiTheme="minorHAnsi" w:hAnsiTheme="minorHAnsi"/>
                <w:szCs w:val="24"/>
              </w:rPr>
              <w:t xml:space="preserve">Situationsgerechte Anwendung psycho-physischer Fähigkeiten im Spiel </w:t>
            </w:r>
          </w:p>
          <w:p w:rsidR="00D377CC" w:rsidRPr="007021CB" w:rsidRDefault="00895801" w:rsidP="00D377C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line="276" w:lineRule="auto"/>
              <w:contextualSpacing/>
              <w:jc w:val="both"/>
              <w:rPr>
                <w:rFonts w:asciiTheme="minorHAnsi" w:hAnsiTheme="minorHAnsi"/>
                <w:szCs w:val="24"/>
              </w:rPr>
            </w:pPr>
            <w:r>
              <w:rPr>
                <w:rFonts w:asciiTheme="minorHAnsi" w:hAnsiTheme="minorHAnsi"/>
                <w:szCs w:val="24"/>
              </w:rPr>
              <w:t xml:space="preserve"> </w:t>
            </w:r>
            <w:r w:rsidR="00D377CC" w:rsidRPr="007021CB">
              <w:rPr>
                <w:rFonts w:asciiTheme="minorHAnsi" w:hAnsiTheme="minorHAnsi"/>
                <w:szCs w:val="24"/>
              </w:rPr>
              <w:t>Situationsgerechte Anwendung individualtaktisch-kognitiver Entscheidungen im Spiel</w:t>
            </w:r>
          </w:p>
          <w:p w:rsidR="00D377CC" w:rsidRPr="007021CB" w:rsidRDefault="00895801" w:rsidP="00D377C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line="276" w:lineRule="auto"/>
              <w:contextualSpacing/>
              <w:jc w:val="both"/>
              <w:rPr>
                <w:rFonts w:asciiTheme="minorHAnsi" w:hAnsiTheme="minorHAnsi"/>
                <w:szCs w:val="24"/>
              </w:rPr>
            </w:pPr>
            <w:r>
              <w:rPr>
                <w:rFonts w:asciiTheme="minorHAnsi" w:hAnsiTheme="minorHAnsi"/>
                <w:szCs w:val="24"/>
              </w:rPr>
              <w:t xml:space="preserve"> </w:t>
            </w:r>
            <w:r w:rsidR="00D377CC" w:rsidRPr="007021CB">
              <w:rPr>
                <w:rFonts w:asciiTheme="minorHAnsi" w:hAnsiTheme="minorHAnsi"/>
                <w:szCs w:val="24"/>
              </w:rPr>
              <w:t>Situationsgerechte Anwendung gruppentaktisch-kognitiver Entscheidungen im Spiel</w:t>
            </w:r>
          </w:p>
          <w:p w:rsidR="00D377CC" w:rsidRPr="004B2F29" w:rsidRDefault="00895801" w:rsidP="00D377C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pacing w:after="0" w:line="276" w:lineRule="auto"/>
              <w:contextualSpacing/>
              <w:jc w:val="both"/>
              <w:rPr>
                <w:rFonts w:asciiTheme="minorHAnsi" w:hAnsiTheme="minorHAnsi"/>
                <w:b/>
              </w:rPr>
            </w:pPr>
            <w:r>
              <w:rPr>
                <w:rFonts w:asciiTheme="minorHAnsi" w:hAnsiTheme="minorHAnsi"/>
                <w:szCs w:val="24"/>
              </w:rPr>
              <w:t xml:space="preserve"> </w:t>
            </w:r>
            <w:r w:rsidR="00D377CC" w:rsidRPr="007021CB">
              <w:rPr>
                <w:rFonts w:asciiTheme="minorHAnsi" w:hAnsiTheme="minorHAnsi"/>
                <w:szCs w:val="24"/>
              </w:rPr>
              <w:t>Situationsgerechte Anwendung mannschaftstaktisch-kognitiver Entscheidungen im Spiel</w:t>
            </w:r>
          </w:p>
        </w:tc>
      </w:tr>
      <w:tr w:rsidR="00D377CC" w:rsidRPr="004B2F29" w:rsidTr="002D0864">
        <w:trPr>
          <w:trHeight w:val="462"/>
          <w:jc w:val="center"/>
        </w:trPr>
        <w:tc>
          <w:tcPr>
            <w:tcW w:w="4957" w:type="dxa"/>
            <w:shd w:val="clear" w:color="auto" w:fill="auto"/>
            <w:vAlign w:val="center"/>
          </w:tcPr>
          <w:p w:rsidR="00D377CC" w:rsidRPr="004B2F29" w:rsidRDefault="00D377CC" w:rsidP="00A60E96">
            <w:pPr>
              <w:tabs>
                <w:tab w:val="left" w:pos="268"/>
              </w:tabs>
              <w:spacing w:after="0" w:line="240" w:lineRule="auto"/>
              <w:ind w:left="-15"/>
              <w:jc w:val="center"/>
              <w:rPr>
                <w:rFonts w:asciiTheme="minorHAnsi" w:hAnsiTheme="minorHAnsi"/>
                <w:sz w:val="24"/>
                <w:szCs w:val="24"/>
              </w:rPr>
            </w:pPr>
            <w:r w:rsidRPr="004B2F29">
              <w:rPr>
                <w:rFonts w:asciiTheme="minorHAnsi" w:hAnsiTheme="minorHAnsi"/>
                <w:b/>
                <w:sz w:val="24"/>
                <w:szCs w:val="24"/>
              </w:rPr>
              <w:t>Indikatoren</w:t>
            </w:r>
          </w:p>
        </w:tc>
        <w:tc>
          <w:tcPr>
            <w:tcW w:w="4961" w:type="dxa"/>
            <w:shd w:val="clear" w:color="auto" w:fill="auto"/>
            <w:vAlign w:val="center"/>
          </w:tcPr>
          <w:p w:rsidR="00D377CC" w:rsidRPr="004B2F29" w:rsidRDefault="00D377CC" w:rsidP="00A60E96">
            <w:pPr>
              <w:tabs>
                <w:tab w:val="left" w:pos="268"/>
              </w:tabs>
              <w:spacing w:after="0" w:line="240" w:lineRule="auto"/>
              <w:ind w:left="-15"/>
              <w:jc w:val="center"/>
              <w:rPr>
                <w:rFonts w:asciiTheme="minorHAnsi" w:hAnsiTheme="minorHAnsi"/>
                <w:b/>
                <w:sz w:val="24"/>
                <w:szCs w:val="24"/>
              </w:rPr>
            </w:pPr>
            <w:r>
              <w:rPr>
                <w:rFonts w:asciiTheme="minorHAnsi" w:hAnsiTheme="minorHAnsi"/>
                <w:b/>
                <w:sz w:val="24"/>
                <w:szCs w:val="24"/>
              </w:rPr>
              <w:t>Be</w:t>
            </w:r>
            <w:r w:rsidRPr="004B2F29">
              <w:rPr>
                <w:rFonts w:asciiTheme="minorHAnsi" w:hAnsiTheme="minorHAnsi"/>
                <w:b/>
                <w:sz w:val="24"/>
                <w:szCs w:val="24"/>
              </w:rPr>
              <w:t>merkungen</w:t>
            </w: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Im Spiel situationsangemessen Positionen einnehmen und ggf. aufrechterhalten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sz w:val="18"/>
                <w:szCs w:val="18"/>
              </w:rPr>
            </w:pP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Im Spiel grundlegende individualtaktische Verhaltensweisen in Angriff (z. B. Wurf- und Körpertäuschungen zur und gegen die Wurfhand) und Abwehr (z. B. Anspiele verhindern, Abdrängen in ungünstige Wurfpositionen) möglichst zielorientiert und situationsgerecht anwenden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Mit seiner Mannschaft situationsangemessen unterschiedliche Gruppen- und Mannschaftstaktiken in Angriff (z. B. Doppelpass, Kreuzen, Sperren, Auflösen zum Kreis, Tempogegenstoß, schnelle Mitte; 2:4-Positionsangriff) und Abwehr (z. B. Heraustreten und Sichern, Übergeben und Übernehmen, Doppelblock; 6:0-Abwehrsystem) möglichst sicher und zielorientiert anwenden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Im Angriff unterschiedliche Druckbedingungen (z. B. Situationsdruck, Komplexitätsdruck, Zeitdruck, physischer/psychischer Belastungsdruck) aufbauen und die gegnerische Mannschaft in Bedrängnis bringen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In der Abwehr auf unterschiedliche Druckbedingungen der gegnerischen Mannschaft (z.B. Situationsdruck, Komplexitätsdruck, Zeitdruck, physischer/psychischer Belastungsdruck) sachgerecht reagieren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950"/>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Mit Mitspielerinnen und Mitspielern unter Einsatz verbaler und nonverbaler Kommunikationsformen zielorientiert in Angriff und Abwehr zusammenspielen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1059"/>
          <w:jc w:val="center"/>
        </w:trPr>
        <w:tc>
          <w:tcPr>
            <w:tcW w:w="4957" w:type="dxa"/>
            <w:shd w:val="clear" w:color="auto" w:fill="auto"/>
          </w:tcPr>
          <w:p w:rsidR="00D377CC" w:rsidRPr="00B772DB" w:rsidRDefault="00D377CC" w:rsidP="00D377CC">
            <w:pPr>
              <w:spacing w:before="60" w:after="60" w:line="240" w:lineRule="auto"/>
              <w:jc w:val="both"/>
              <w:rPr>
                <w:rFonts w:eastAsiaTheme="minorHAnsi" w:cs="Arial"/>
                <w:szCs w:val="24"/>
              </w:rPr>
            </w:pPr>
            <w:r w:rsidRPr="00B772DB">
              <w:rPr>
                <w:rFonts w:asciiTheme="minorHAnsi" w:eastAsiaTheme="minorHAnsi" w:hAnsiTheme="minorHAnsi" w:cs="Arial"/>
                <w:color w:val="auto"/>
                <w:szCs w:val="24"/>
                <w:bdr w:val="none" w:sz="0" w:space="0" w:color="auto"/>
              </w:rPr>
              <w:t>Sein Team durch motiviertes, sozial angemessenes und faires sowie auf mannschaftliche Geschlossenheit ausgerichtetes Verhalten unterstützen und für den Spielaufbau Verantwortung übernehmen bzw. sich an Absprachen halten</w:t>
            </w:r>
            <w:r w:rsidR="00FF3452">
              <w:rPr>
                <w:rFonts w:asciiTheme="minorHAnsi" w:eastAsiaTheme="minorHAnsi" w:hAnsiTheme="minorHAnsi" w:cs="Arial"/>
                <w:color w:val="auto"/>
                <w:szCs w:val="24"/>
                <w:bdr w:val="none" w:sz="0" w:space="0" w:color="auto"/>
              </w:rPr>
              <w:t xml:space="preserve"> </w:t>
            </w:r>
            <w:r w:rsidR="00FF3452">
              <w:rPr>
                <w:rFonts w:asciiTheme="minorHAnsi" w:hAnsiTheme="minorHAnsi" w:cs="Arial"/>
                <w:szCs w:val="24"/>
              </w:rPr>
              <w:t>können</w:t>
            </w:r>
            <w:r w:rsidRPr="00B772DB">
              <w:rPr>
                <w:rFonts w:asciiTheme="minorHAnsi" w:eastAsiaTheme="minorHAnsi" w:hAnsiTheme="minorHAnsi" w:cs="Arial"/>
                <w:color w:val="auto"/>
                <w:szCs w:val="24"/>
                <w:bdr w:val="none" w:sz="0" w:space="0" w:color="auto"/>
              </w:rPr>
              <w:t>.</w:t>
            </w:r>
          </w:p>
        </w:tc>
        <w:tc>
          <w:tcPr>
            <w:tcW w:w="4961" w:type="dxa"/>
            <w:shd w:val="clear" w:color="auto" w:fill="auto"/>
          </w:tcPr>
          <w:p w:rsidR="00D377CC" w:rsidRPr="004B2F29" w:rsidRDefault="00D377CC" w:rsidP="00D377CC">
            <w:pPr>
              <w:spacing w:after="0"/>
              <w:rPr>
                <w:rFonts w:asciiTheme="minorHAnsi" w:hAnsiTheme="minorHAnsi"/>
                <w:b/>
                <w:sz w:val="18"/>
                <w:szCs w:val="18"/>
              </w:rPr>
            </w:pPr>
          </w:p>
        </w:tc>
      </w:tr>
      <w:tr w:rsidR="00D377CC" w:rsidRPr="004B2F29" w:rsidTr="002D0864">
        <w:trPr>
          <w:trHeight w:val="484"/>
          <w:jc w:val="center"/>
        </w:trPr>
        <w:tc>
          <w:tcPr>
            <w:tcW w:w="9918" w:type="dxa"/>
            <w:gridSpan w:val="2"/>
            <w:tcBorders>
              <w:left w:val="nil"/>
              <w:bottom w:val="nil"/>
              <w:right w:val="nil"/>
            </w:tcBorders>
            <w:shd w:val="clear" w:color="auto" w:fill="auto"/>
            <w:vAlign w:val="center"/>
          </w:tcPr>
          <w:p w:rsidR="00D377CC" w:rsidRPr="0034248C" w:rsidRDefault="00D377CC" w:rsidP="00895801">
            <w:pPr>
              <w:tabs>
                <w:tab w:val="left" w:pos="4712"/>
              </w:tabs>
              <w:spacing w:before="240" w:after="0" w:line="276" w:lineRule="auto"/>
              <w:jc w:val="both"/>
              <w:rPr>
                <w:rFonts w:asciiTheme="minorHAnsi" w:hAnsiTheme="minorHAnsi"/>
                <w:b/>
                <w:sz w:val="28"/>
                <w:szCs w:val="28"/>
              </w:rPr>
            </w:pPr>
            <w:r>
              <w:rPr>
                <w:rFonts w:asciiTheme="minorHAnsi" w:hAnsiTheme="minorHAnsi"/>
                <w:b/>
                <w:sz w:val="28"/>
                <w:szCs w:val="28"/>
              </w:rPr>
              <w:tab/>
            </w:r>
            <w:r w:rsidRPr="0034248C">
              <w:rPr>
                <w:rFonts w:asciiTheme="minorHAnsi" w:hAnsiTheme="minorHAnsi"/>
                <w:b/>
                <w:sz w:val="28"/>
                <w:szCs w:val="28"/>
              </w:rPr>
              <w:t>NOTE (ggf. Tendenz):</w:t>
            </w:r>
            <w:r>
              <w:rPr>
                <w:rFonts w:asciiTheme="minorHAnsi" w:hAnsiTheme="minorHAnsi"/>
                <w:b/>
                <w:sz w:val="28"/>
                <w:szCs w:val="28"/>
              </w:rPr>
              <w:t xml:space="preserve"> </w:t>
            </w:r>
            <w:r w:rsidRPr="00EE0F72">
              <w:rPr>
                <w:rFonts w:asciiTheme="minorHAnsi" w:hAnsiTheme="minorHAnsi"/>
                <w:b/>
                <w:sz w:val="28"/>
                <w:szCs w:val="28"/>
                <w:u w:val="single"/>
              </w:rPr>
              <w:tab/>
            </w:r>
            <w:r w:rsidRPr="00EE0F72">
              <w:rPr>
                <w:rFonts w:asciiTheme="minorHAnsi" w:hAnsiTheme="minorHAnsi"/>
                <w:b/>
                <w:sz w:val="28"/>
                <w:szCs w:val="28"/>
                <w:u w:val="single"/>
              </w:rPr>
              <w:tab/>
            </w:r>
            <w:r w:rsidRPr="00EE0F72">
              <w:rPr>
                <w:rFonts w:asciiTheme="minorHAnsi" w:hAnsiTheme="minorHAnsi"/>
                <w:b/>
                <w:sz w:val="28"/>
                <w:szCs w:val="28"/>
                <w:u w:val="single"/>
              </w:rPr>
              <w:tab/>
            </w:r>
          </w:p>
        </w:tc>
      </w:tr>
    </w:tbl>
    <w:p w:rsidR="004E1ACA" w:rsidRDefault="004E1ACA" w:rsidP="00FF3452">
      <w:pPr>
        <w:keepNext/>
        <w:keepLines/>
        <w:spacing w:before="240" w:after="120" w:line="240" w:lineRule="auto"/>
        <w:outlineLvl w:val="1"/>
        <w:rPr>
          <w:rFonts w:asciiTheme="majorHAnsi" w:hAnsiTheme="majorHAnsi" w:cs="Arial"/>
          <w:b/>
          <w:sz w:val="8"/>
          <w:szCs w:val="8"/>
        </w:rPr>
        <w:sectPr w:rsidR="004E1ACA" w:rsidSect="00FA2228">
          <w:pgSz w:w="11899" w:h="17340"/>
          <w:pgMar w:top="851" w:right="838" w:bottom="567" w:left="1163" w:header="426" w:footer="720" w:gutter="0"/>
          <w:cols w:space="720"/>
          <w:noEndnote/>
        </w:sectPr>
      </w:pPr>
    </w:p>
    <w:p w:rsidR="004E1ACA" w:rsidRPr="004E1ACA" w:rsidRDefault="004E1ACA" w:rsidP="004E1AC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outlineLvl w:val="1"/>
        <w:rPr>
          <w:rFonts w:cs="Arial"/>
          <w:b/>
          <w:sz w:val="28"/>
          <w:szCs w:val="24"/>
          <w:bdr w:val="none" w:sz="0" w:space="0" w:color="auto" w:frame="1"/>
        </w:rPr>
      </w:pPr>
      <w:r w:rsidRPr="004E1ACA">
        <w:rPr>
          <w:rFonts w:cs="Arial"/>
          <w:b/>
          <w:sz w:val="28"/>
          <w:szCs w:val="24"/>
          <w:bdr w:val="none" w:sz="0" w:space="0" w:color="auto" w:frame="1"/>
        </w:rPr>
        <w:lastRenderedPageBreak/>
        <w:t>BF/SB 7 – Fakultative Prüfungsanforderungen</w:t>
      </w:r>
      <w:r w:rsidRPr="004E1ACA">
        <w:rPr>
          <w:rFonts w:cs="Arial"/>
          <w:b/>
          <w:szCs w:val="24"/>
          <w:bdr w:val="none" w:sz="0" w:space="0" w:color="auto" w:frame="1"/>
          <w:vertAlign w:val="superscript"/>
          <w:lang w:eastAsia="de-DE"/>
        </w:rPr>
        <w:footnoteReference w:id="4"/>
      </w:r>
      <w:r w:rsidRPr="004E1ACA">
        <w:rPr>
          <w:rFonts w:cs="Arial"/>
          <w:b/>
          <w:sz w:val="28"/>
          <w:szCs w:val="24"/>
          <w:bdr w:val="none" w:sz="0" w:space="0" w:color="auto" w:frame="1"/>
        </w:rPr>
        <w:t>: Handball</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4E1ACA">
        <w:rPr>
          <w:rFonts w:cs="Arial"/>
          <w:szCs w:val="24"/>
          <w:bdr w:val="none" w:sz="0" w:space="0" w:color="auto" w:frame="1"/>
        </w:rPr>
        <w:t xml:space="preserve">Die Überprüfung der fakultativen Leistung umfasst </w:t>
      </w:r>
      <w:r w:rsidRPr="004E1ACA">
        <w:rPr>
          <w:rFonts w:cs="Arial"/>
          <w:b/>
          <w:szCs w:val="24"/>
          <w:bdr w:val="none" w:sz="0" w:space="0" w:color="auto" w:frame="1"/>
        </w:rPr>
        <w:t>zwei Prüfungsteile</w:t>
      </w:r>
      <w:r w:rsidRPr="004E1ACA">
        <w:rPr>
          <w:rFonts w:cs="Arial"/>
          <w:szCs w:val="24"/>
          <w:bdr w:val="none" w:sz="0" w:space="0" w:color="auto" w:frame="1"/>
        </w:rPr>
        <w:t>. Dabei haben beide 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4E1ACA">
        <w:rPr>
          <w:rFonts w:cs="Arial"/>
          <w:szCs w:val="24"/>
          <w:bdr w:val="none" w:sz="0" w:space="0" w:color="auto" w:frame="1"/>
        </w:rPr>
        <w:t xml:space="preserve">Der erste Prüfungsteil besteht aus einer vorgegebenen </w:t>
      </w:r>
      <w:r w:rsidRPr="004E1ACA">
        <w:rPr>
          <w:rFonts w:cs="Arial"/>
          <w:b/>
          <w:szCs w:val="24"/>
          <w:bdr w:val="none" w:sz="0" w:space="0" w:color="auto" w:frame="1"/>
        </w:rPr>
        <w:t>einfachen Spielform</w:t>
      </w:r>
      <w:r w:rsidRPr="004E1ACA">
        <w:rPr>
          <w:rFonts w:cs="Arial"/>
          <w:szCs w:val="24"/>
          <w:bdr w:val="none" w:sz="0" w:space="0" w:color="auto" w:frame="1"/>
        </w:rPr>
        <w:t xml:space="preserve"> (z.B. 3:3 auf verkleinertem Feld) einschließlich der hierzu erforderlichen individuellen technisch-koordinativen Fertigkeiten sowie der individualtaktisch-kognitiven Fähigkeiten.</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after="0" w:line="240" w:lineRule="auto"/>
        <w:jc w:val="both"/>
        <w:rPr>
          <w:rFonts w:cs="Arial"/>
          <w:szCs w:val="24"/>
          <w:bdr w:val="none" w:sz="0" w:space="0" w:color="auto" w:frame="1"/>
        </w:rPr>
      </w:pPr>
      <w:r w:rsidRPr="004E1ACA">
        <w:rPr>
          <w:rFonts w:cs="Arial"/>
          <w:szCs w:val="24"/>
          <w:bdr w:val="none" w:sz="0" w:space="0" w:color="auto" w:frame="1"/>
        </w:rPr>
        <w:t xml:space="preserve">Der zweite Prüfungsteil besteht aus einer vorgegebenen </w:t>
      </w:r>
      <w:r w:rsidRPr="004E1ACA">
        <w:rPr>
          <w:rFonts w:cs="Arial"/>
          <w:b/>
          <w:szCs w:val="24"/>
          <w:bdr w:val="none" w:sz="0" w:space="0" w:color="auto" w:frame="1"/>
        </w:rPr>
        <w:t>komplexen Spielform</w:t>
      </w:r>
      <w:r w:rsidRPr="004E1ACA">
        <w:rPr>
          <w:rFonts w:cs="Arial"/>
          <w:szCs w:val="24"/>
          <w:bdr w:val="none" w:sz="0" w:space="0" w:color="auto" w:frame="1"/>
        </w:rPr>
        <w:t xml:space="preserve"> (z. B. Überzahl-/Unterzahlspiel, vorgegebene Spielzüge oder Taktiken), in der technisch-koordinative Fertigkeiten und Fähigkeiten sowie individualtaktisch-kognitive bzw. gruppen- und mannschaftstaktisch-kognitive Fähigkeiten präsentiert werden können.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right="-142"/>
        <w:rPr>
          <w:rFonts w:cs="Arial"/>
          <w:b/>
          <w:sz w:val="24"/>
          <w:szCs w:val="24"/>
          <w:bdr w:val="none" w:sz="0" w:space="0" w:color="auto" w:frame="1"/>
          <w:lang w:eastAsia="de-DE"/>
        </w:rPr>
      </w:pPr>
      <w:r w:rsidRPr="004E1ACA">
        <w:rPr>
          <w:rFonts w:cs="Arial"/>
          <w:b/>
          <w:sz w:val="24"/>
          <w:szCs w:val="24"/>
          <w:bdr w:val="none" w:sz="0" w:space="0" w:color="auto" w:frame="1"/>
          <w:lang w:eastAsia="de-DE"/>
        </w:rPr>
        <w:t>Erster Prüfungsteil</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Cs w:val="24"/>
          <w:bdr w:val="none" w:sz="0" w:space="0" w:color="auto" w:frame="1"/>
          <w:lang w:eastAsia="de-DE"/>
        </w:rPr>
      </w:pPr>
      <w:r w:rsidRPr="004E1ACA">
        <w:rPr>
          <w:rFonts w:cs="Arial"/>
          <w:b/>
          <w:szCs w:val="24"/>
          <w:bdr w:val="none" w:sz="0" w:space="0" w:color="auto" w:frame="1"/>
          <w:lang w:eastAsia="de-DE"/>
        </w:rPr>
        <w:t>Beobachtungsschwerpunkte</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Funktionale Anwendung der technisch-koordinativen handballspezifischen Fertigkeiten und Fähigkeiten in Angriff und Abwehr in einer vorgegebenen einfachen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der technisch-koordinativen handballspezifischen Fertigkeiten und Fähigkeiten in Angriff und Abwehr in einer vorgegebenen einfachen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individualtaktisch-kognitiver Entscheidungen in Angriff und Abwehr in einer vorgegebenen einfachen Spielform</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80" w:after="0" w:line="240" w:lineRule="auto"/>
        <w:ind w:right="-142"/>
        <w:jc w:val="both"/>
        <w:rPr>
          <w:rFonts w:cs="Times New Roman"/>
          <w:b/>
          <w:color w:val="auto"/>
          <w:szCs w:val="20"/>
          <w:bdr w:val="none" w:sz="0" w:space="0" w:color="auto"/>
        </w:rPr>
      </w:pPr>
      <w:r w:rsidRPr="004E1ACA">
        <w:rPr>
          <w:rFonts w:cs="Times New Roman"/>
          <w:b/>
          <w:color w:val="auto"/>
          <w:szCs w:val="20"/>
          <w:bdr w:val="none" w:sz="0" w:space="0" w:color="auto"/>
        </w:rPr>
        <w:t>Indikatoren</w:t>
      </w:r>
      <w:r w:rsidRPr="004E1ACA">
        <w:rPr>
          <w:rFonts w:cs="Times New Roman"/>
          <w:color w:val="auto"/>
          <w:szCs w:val="20"/>
          <w:bdr w:val="none" w:sz="0" w:space="0" w:color="auto"/>
          <w:vertAlign w:val="superscript"/>
          <w:lang w:val="en-US"/>
        </w:rPr>
        <w:footnoteReference w:id="5"/>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Times New Roman"/>
          <w:color w:val="auto"/>
          <w:bdr w:val="none" w:sz="0" w:space="0" w:color="auto"/>
        </w:rPr>
      </w:pPr>
      <w:r w:rsidRPr="004E1ACA">
        <w:rPr>
          <w:rFonts w:cs="Times New Roman"/>
          <w:color w:val="auto"/>
          <w:bdr w:val="none" w:sz="0" w:space="0" w:color="auto"/>
        </w:rPr>
        <w:t>Der Prüfling kann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im Spiel situationsangemessen Positionen einnehmen und ggf. aufrechterhalten.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technisch-koordinativ sicher und situationsangemessen dribbeln und werfen sowie ggf. passen und fangen (auch in bedrängten Spielsituationen).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in der Offensive individualtaktisch-kognitiv grundlegende Verhaltensweisen (z. B. Wurf- und Körpertäuschung zur und gegen die Wurfhand, Durchbruch, Freilaufen, Anbieten) zielorientiert anwenden.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in der Defensive individualtaktisch-kognitiv grundlegende Verhaltensweisen (z. B. zugewiesenen Angreifer in seinen Aktionen regelgerecht einschränken, angemessen auf Wurf- und Körpertäuschungen reagieren, Passwege verhindern) zielorientiert anwenden.</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b/>
          <w:szCs w:val="24"/>
          <w:bdr w:val="none" w:sz="0" w:space="0" w:color="auto" w:frame="1"/>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56" w:lineRule="auto"/>
        <w:jc w:val="both"/>
        <w:rPr>
          <w:rFonts w:cs="Arial"/>
          <w:b/>
          <w:szCs w:val="24"/>
          <w:bdr w:val="none" w:sz="0" w:space="0" w:color="auto" w:frame="1"/>
        </w:rPr>
      </w:pPr>
      <w:r w:rsidRPr="004E1ACA">
        <w:rPr>
          <w:rFonts w:cs="Arial"/>
          <w:b/>
          <w:szCs w:val="24"/>
          <w:bdr w:val="none" w:sz="0" w:space="0" w:color="auto" w:frame="1"/>
        </w:rPr>
        <w:t>Leistungsbewertung</w:t>
      </w:r>
      <w:r w:rsidRPr="004E1ACA">
        <w:rPr>
          <w:rFonts w:cs="Arial"/>
          <w:b/>
          <w:szCs w:val="24"/>
          <w:bdr w:val="none" w:sz="0" w:space="0" w:color="auto" w:frame="1"/>
          <w:vertAlign w:val="superscript"/>
        </w:rPr>
        <w:footnoteReference w:id="6"/>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4961"/>
      </w:tblGrid>
      <w:tr w:rsidR="004E1ACA" w:rsidRPr="004E1ACA" w:rsidTr="004E1ACA">
        <w:trPr>
          <w:trHeight w:val="1125"/>
        </w:trPr>
        <w:tc>
          <w:tcPr>
            <w:tcW w:w="484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b/>
                <w:i/>
                <w:color w:val="auto"/>
                <w:sz w:val="20"/>
                <w:szCs w:val="20"/>
                <w:bdr w:val="none" w:sz="0" w:space="0" w:color="auto"/>
              </w:rPr>
            </w:pPr>
            <w:r w:rsidRPr="004E1ACA">
              <w:rPr>
                <w:b/>
                <w:i/>
                <w:color w:val="auto"/>
                <w:sz w:val="20"/>
                <w:szCs w:val="20"/>
                <w:bdr w:val="none" w:sz="0" w:space="0" w:color="auto"/>
              </w:rPr>
              <w:t xml:space="preserve">Gut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4E1ACA">
              <w:rPr>
                <w:rFonts w:cs="Arial"/>
                <w:sz w:val="20"/>
                <w:szCs w:val="24"/>
                <w:bdr w:val="none" w:sz="0" w:space="0" w:color="auto" w:frame="1"/>
              </w:rPr>
              <w:t xml:space="preserve">Der Prüfling zeigt in den jeweiligen technisch-koordinativen Anforderungssituationen nahezu durchgehend sichere, den Spielfluss fördernde Fertigkeiten und Fähigkeiten.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Arial"/>
                <w:sz w:val="20"/>
                <w:szCs w:val="24"/>
                <w:bdr w:val="none" w:sz="0" w:space="0" w:color="auto" w:frame="1"/>
              </w:rPr>
            </w:pPr>
            <w:r w:rsidRPr="004E1ACA">
              <w:rPr>
                <w:rFonts w:cs="Arial"/>
                <w:sz w:val="20"/>
                <w:szCs w:val="24"/>
                <w:bdr w:val="none" w:sz="0" w:space="0" w:color="auto" w:frame="1"/>
              </w:rPr>
              <w:t xml:space="preserve">Der Prüfling verhält sich in den jeweiligen individualtaktisch-kognitiven Anforderungssituationen sowie in einfachen Spielformen in nahezu allen Handlungssituationen situativ angemessen. Eine differenzierte Selbst- und Fremdwahrnehmung führt zu sachgerechten und situativ angemessenen Entscheidungen.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eastAsia="Times New Roman" w:cs="Times New Roman"/>
                <w:color w:val="auto"/>
                <w:sz w:val="20"/>
                <w:bdr w:val="none" w:sz="0" w:space="0" w:color="auto"/>
              </w:rPr>
            </w:pPr>
            <w:r w:rsidRPr="004E1ACA">
              <w:rPr>
                <w:rFonts w:cs="Arial"/>
                <w:sz w:val="20"/>
                <w:szCs w:val="24"/>
                <w:bdr w:val="none" w:sz="0" w:space="0" w:color="auto" w:frame="1"/>
              </w:rPr>
              <w:t>Der Gesamteindruck der Bewegungshandlungen weist eine durchgehend hohe Bewegungsqualität (Bewegungsrhythmus, Bewegungskopplung, Bewegungspräzision, Bewe</w:t>
            </w:r>
            <w:r>
              <w:rPr>
                <w:rFonts w:cs="Arial"/>
                <w:sz w:val="20"/>
                <w:szCs w:val="24"/>
                <w:bdr w:val="none" w:sz="0" w:space="0" w:color="auto" w:frame="1"/>
              </w:rPr>
              <w:softHyphen/>
            </w:r>
            <w:bookmarkStart w:id="0" w:name="_GoBack"/>
            <w:bookmarkEnd w:id="0"/>
            <w:r w:rsidRPr="004E1ACA">
              <w:rPr>
                <w:rFonts w:cs="Arial"/>
                <w:sz w:val="20"/>
                <w:szCs w:val="24"/>
                <w:bdr w:val="none" w:sz="0" w:space="0" w:color="auto" w:frame="1"/>
              </w:rPr>
              <w:t>gungsfluss) auf.</w:t>
            </w:r>
          </w:p>
        </w:tc>
        <w:tc>
          <w:tcPr>
            <w:tcW w:w="4961"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b/>
                <w:i/>
                <w:color w:val="auto"/>
                <w:sz w:val="20"/>
                <w:szCs w:val="20"/>
                <w:bdr w:val="none" w:sz="0" w:space="0" w:color="auto"/>
              </w:rPr>
            </w:pPr>
            <w:r w:rsidRPr="004E1ACA">
              <w:rPr>
                <w:b/>
                <w:i/>
                <w:color w:val="auto"/>
                <w:sz w:val="20"/>
                <w:szCs w:val="20"/>
                <w:bdr w:val="none" w:sz="0" w:space="0" w:color="auto"/>
              </w:rPr>
              <w:t>Ausreichend</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sz w:val="20"/>
                <w:szCs w:val="24"/>
                <w:bdr w:val="none" w:sz="0" w:space="0" w:color="auto" w:frame="1"/>
              </w:rPr>
            </w:pPr>
            <w:r w:rsidRPr="004E1ACA">
              <w:rPr>
                <w:rFonts w:cs="Arial"/>
                <w:sz w:val="20"/>
                <w:szCs w:val="24"/>
                <w:bdr w:val="none" w:sz="0" w:space="0" w:color="auto" w:frame="1"/>
              </w:rPr>
              <w:t xml:space="preserve">Der Prüfling zeigt in den jeweiligen technisch-koordinativen Anforderungssituationen nicht immer sichere, den Spielfluss fördernde Fertigkeiten und Fähigkeiten.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sz w:val="20"/>
                <w:szCs w:val="24"/>
                <w:bdr w:val="none" w:sz="0" w:space="0" w:color="auto" w:frame="1"/>
              </w:rPr>
              <w:t>Der Prüfling verhält sich in den jeweiligen individualtaktisch-kognitiven Anforderungssituationen sowie in einfachen Spielformen in den Handlungssituationen nur selten situativ angemessen. Eine differenzierte Selbst- und Fremdwahrnehmung führt wiederholt zu fehlerhaften sowie situativ unangemessenen taktisch-kognitiven Entscheidungen.</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Der Gesamteindruck der Bewegungsausführungen wird durch wiederholt auftretende Unsicherheiten gemindert und zeigt eingeschränkte Bewegungsqualität (Bewegungsrhythmus, Bewegungskopplung, Bewegungspräzision, Bewegungsfluss).</w:t>
            </w: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Arial"/>
          <w:b/>
          <w:sz w:val="24"/>
          <w:szCs w:val="24"/>
          <w:bdr w:val="none" w:sz="0" w:space="0" w:color="auto" w:frame="1"/>
          <w:lang w:eastAsia="de-DE"/>
        </w:rPr>
        <w:sectPr w:rsidR="004E1ACA" w:rsidRPr="004E1ACA">
          <w:footnotePr>
            <w:numRestart w:val="eachSect"/>
          </w:footnotePr>
          <w:pgSz w:w="11906" w:h="16838"/>
          <w:pgMar w:top="709" w:right="1417" w:bottom="709" w:left="1417" w:header="708" w:footer="708" w:gutter="0"/>
          <w:cols w:space="720"/>
        </w:sect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 w:val="24"/>
          <w:szCs w:val="24"/>
          <w:bdr w:val="none" w:sz="0" w:space="0" w:color="auto" w:frame="1"/>
          <w:lang w:eastAsia="de-DE"/>
        </w:rPr>
      </w:pPr>
      <w:r w:rsidRPr="004E1ACA">
        <w:rPr>
          <w:rFonts w:cs="Arial"/>
          <w:b/>
          <w:sz w:val="24"/>
          <w:szCs w:val="24"/>
          <w:bdr w:val="none" w:sz="0" w:space="0" w:color="auto" w:frame="1"/>
          <w:lang w:eastAsia="de-DE"/>
        </w:rPr>
        <w:lastRenderedPageBreak/>
        <w:t>Zweiter Prüfungsteil</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142"/>
        <w:rPr>
          <w:rFonts w:cs="Arial"/>
          <w:b/>
          <w:sz w:val="24"/>
          <w:szCs w:val="24"/>
          <w:bdr w:val="none" w:sz="0" w:space="0" w:color="auto" w:frame="1"/>
          <w:lang w:eastAsia="de-DE"/>
        </w:rPr>
      </w:pPr>
      <w:r w:rsidRPr="004E1ACA">
        <w:rPr>
          <w:rFonts w:cs="Arial"/>
          <w:b/>
          <w:sz w:val="24"/>
          <w:szCs w:val="24"/>
          <w:bdr w:val="none" w:sz="0" w:space="0" w:color="auto" w:frame="1"/>
          <w:lang w:eastAsia="de-DE"/>
        </w:rPr>
        <w:t>Beobachtungsschwerpunkte</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 xml:space="preserve">Funktionale Anwendung der technisch-koordinativen handballspezifischen Fertigkeiten und Fähigkeiten in Angriff und Abwehr in einer vorgegebenen komplexen Spielform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der technisch-koordinativen handballspezifischen Fertigkeiten und Fähigkeiten in Angriff und Abwehr in einer vorgegebenen komplexen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individualtaktisch-kognitiver Entscheidungen in Angriff und Abwehr in einer vorgegebenen komplexen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 xml:space="preserve">Situationsgerechte Anwendung gruppentaktisch-kognitiver Entscheidungen in einer vorgegebenen komplexen Spielform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mannschaftstaktisch-kognitiver Entscheidungen in Angriff und Abwehr in einer vorgegebenen komplexen Spielform</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56" w:lineRule="auto"/>
        <w:jc w:val="both"/>
        <w:rPr>
          <w:rFonts w:cs="Arial"/>
          <w:b/>
          <w:szCs w:val="24"/>
          <w:bdr w:val="none" w:sz="0" w:space="0" w:color="auto" w:frame="1"/>
          <w:lang w:eastAsia="de-DE"/>
        </w:rPr>
      </w:pPr>
      <w:r w:rsidRPr="004E1ACA">
        <w:rPr>
          <w:rFonts w:cs="Arial"/>
          <w:b/>
          <w:szCs w:val="24"/>
          <w:bdr w:val="none" w:sz="0" w:space="0" w:color="auto" w:frame="1"/>
          <w:lang w:eastAsia="de-DE"/>
        </w:rPr>
        <w:t>Indikatoren</w:t>
      </w:r>
      <w:r w:rsidRPr="004E1ACA">
        <w:rPr>
          <w:rFonts w:cs="Arial"/>
          <w:b/>
          <w:szCs w:val="24"/>
          <w:bdr w:val="none" w:sz="0" w:space="0" w:color="auto" w:frame="1"/>
          <w:vertAlign w:val="superscript"/>
          <w:lang w:eastAsia="de-DE"/>
        </w:rPr>
        <w:footnoteReference w:id="7"/>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56" w:lineRule="auto"/>
        <w:contextualSpacing/>
        <w:jc w:val="both"/>
        <w:rPr>
          <w:rFonts w:cs="Arial"/>
          <w:szCs w:val="24"/>
          <w:bdr w:val="none" w:sz="0" w:space="0" w:color="auto" w:frame="1"/>
          <w:lang w:eastAsia="de-DE"/>
        </w:rPr>
      </w:pPr>
      <w:r w:rsidRPr="004E1ACA">
        <w:rPr>
          <w:rFonts w:cs="Arial"/>
          <w:szCs w:val="24"/>
          <w:bdr w:val="none" w:sz="0" w:space="0" w:color="auto" w:frame="1"/>
          <w:lang w:eastAsia="de-DE"/>
        </w:rPr>
        <w:t>Der Prüfling kann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im Spiel situationsangemessen Positionen einnehmen und ggf. aufrechterhalten.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technisch-koordinative Fertigkeiten in den handballspezifischen Grundtechniken (Ballannahme, Prellen, verschiedene Passformen, verschiedene Wurftechniken: Schlagwurf, Sprungwurf, Grundpositionen in der Abwehr, Blocken) situationsgerecht anwenden.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in seinem Spielverhalten die individualtaktisch-kognitiven Grundregeln (Freilaufen, sich Anbieten, Stoßen, Kreuzen, Sperren/Absetzen, Durchbrüche verhindern, Bälle abfangen) zielorientiert anwenden.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vorgegebene Gruppen- und Mannschaftstaktiken (z. B. Doppelpass, Kreuzen, Sperren, Auflösen zum Kreis) und Mannschaftstaktiken (z. B. Überzahlspiel, Unterzahlspiel) möglichst sicher und zielorientiert situationsangemessen anwenden.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mit Mitspielerinnen und Mitspielern verbal und nonverbal zielorientiert im Spiel kommunizieren.</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line="256" w:lineRule="auto"/>
        <w:ind w:left="284" w:hanging="284"/>
        <w:contextualSpacing/>
        <w:jc w:val="both"/>
        <w:rPr>
          <w:rFonts w:cs="Arial"/>
          <w:szCs w:val="24"/>
          <w:bdr w:val="none" w:sz="0" w:space="0" w:color="auto" w:frame="1"/>
          <w:lang w:eastAsia="de-DE"/>
        </w:rPr>
      </w:pPr>
      <w:r w:rsidRPr="004E1ACA">
        <w:rPr>
          <w:rFonts w:cs="Arial"/>
          <w:szCs w:val="24"/>
          <w:bdr w:val="none" w:sz="0" w:space="0" w:color="auto" w:frame="1"/>
          <w:lang w:eastAsia="de-DE"/>
        </w:rPr>
        <w:t>sein Team durch motiviertes, sozial angemessenes und faires sowie auf mannschaftliche Geschlossenheit ausgerichtetes Verhalten unterstützen und für den Spielaufbau Verantwortung übernehmen bzw. sich an mannschaftliche Absprachen halten.</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rPr>
          <w:rFonts w:cs="Arial"/>
          <w:b/>
          <w:color w:val="auto"/>
          <w:sz w:val="24"/>
          <w:szCs w:val="24"/>
          <w:bdr w:val="none" w:sz="0" w:space="0" w:color="auto"/>
        </w:rPr>
      </w:pPr>
      <w:r w:rsidRPr="004E1ACA">
        <w:rPr>
          <w:rFonts w:cs="Arial"/>
          <w:b/>
          <w:color w:val="auto"/>
          <w:szCs w:val="24"/>
          <w:bdr w:val="none" w:sz="0" w:space="0" w:color="auto"/>
        </w:rPr>
        <w:t>Leistungsbewertung</w:t>
      </w:r>
      <w:r w:rsidRPr="004E1ACA">
        <w:rPr>
          <w:rFonts w:cs="Arial"/>
          <w:color w:val="auto"/>
          <w:sz w:val="24"/>
          <w:szCs w:val="24"/>
          <w:bdr w:val="none" w:sz="0" w:space="0" w:color="auto"/>
          <w:vertAlign w:val="superscript"/>
          <w:lang w:val="en-US"/>
        </w:rPr>
        <w:footnoteReference w:id="8"/>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103"/>
      </w:tblGrid>
      <w:tr w:rsidR="004E1ACA" w:rsidRPr="004E1ACA" w:rsidTr="004E1ACA">
        <w:trPr>
          <w:trHeight w:val="831"/>
        </w:trPr>
        <w:tc>
          <w:tcPr>
            <w:tcW w:w="4707"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b/>
                <w:i/>
                <w:color w:val="auto"/>
                <w:sz w:val="20"/>
                <w:szCs w:val="20"/>
                <w:bdr w:val="none" w:sz="0" w:space="0" w:color="auto"/>
              </w:rPr>
            </w:pPr>
            <w:r w:rsidRPr="004E1ACA">
              <w:rPr>
                <w:b/>
                <w:i/>
                <w:color w:val="auto"/>
                <w:sz w:val="20"/>
                <w:szCs w:val="20"/>
                <w:bdr w:val="none" w:sz="0" w:space="0" w:color="auto"/>
              </w:rPr>
              <w:t xml:space="preserve">Gut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 xml:space="preserve">Der Prüfling zeigt in den jeweiligen technisch-koordinativen Anforderungssituationen nahezu durchgehend sichere, den Spielfluss fördernde technisch- koordinative Fertigkeiten und Fähigkeiten. Er zeigt in den jeweiligen individualtaktisch-kognitiven Anforderungssituationen sowie in komplexen Spielformen gruppen- und mannschaftstaktisch-kognitiv in nahezu allen Handlungssituationen – insbesondere in den vorgegebenen Angriffs- und Abwehrsystemen – regelgerechtes und situativ angemessenes Verhalten. Eine differenzierte Selbst- und Fremdwahrnehmung führt auch unter Druckbedingungen zu sachgerechten und situativ angemessenen taktisch-kognitiven Entscheidungen.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 xml:space="preserve">Der Prüfling kommuniziert innerhalb seiner Mannschaft verbal und nonverbal angemessen, kann für sich und andere Verantwortung übernehmen und sein Team angemessen motivieren.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Der Gesamteindruck der Bewegungsausführungen weist eine durchgehend hohe Bewegungsqualität (Bewegungsrhythmus, Bewegungskopplung, Bewegungsdynamik, Bewegungspräzision, Bewegungsfluss) auf.</w:t>
            </w:r>
          </w:p>
        </w:tc>
        <w:tc>
          <w:tcPr>
            <w:tcW w:w="5103"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b/>
                <w:i/>
                <w:color w:val="auto"/>
                <w:sz w:val="20"/>
                <w:szCs w:val="20"/>
                <w:bdr w:val="none" w:sz="0" w:space="0" w:color="auto"/>
              </w:rPr>
            </w:pPr>
            <w:r w:rsidRPr="004E1ACA">
              <w:rPr>
                <w:b/>
                <w:i/>
                <w:color w:val="auto"/>
                <w:sz w:val="20"/>
                <w:szCs w:val="20"/>
                <w:bdr w:val="none" w:sz="0" w:space="0" w:color="auto"/>
              </w:rPr>
              <w:t>Ausreichend</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 xml:space="preserve">Der Prüfling zeigt in den jeweiligen technisch-koordinativen Anforderungssituationen nicht immer sichere, den Spielfluss fördernde Fertigkeiten und Fähigkeiten.  Er zeigt in den jeweiligen individualtaktisch-kognitiven Anforderungssituationen sowie in komplexen Spielformen gruppen- und mannschaftstaktisch-kognitiv in nahezu allen Handlungssituationen – insbesondere in den vorgegebenen Angriffs- und Abwehrsystemen – selten angemessenes Verhalten. Eine situativ fehlerhafte Selbst- und Fremdwahrnehmung führt - insbesondere unter Druckbedingungen – wiederholt zu fehlerhaften sowie situativ unangemessenen taktisch-kognitiven Entscheidungen.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cs="Arial"/>
                <w:color w:val="auto"/>
                <w:sz w:val="20"/>
                <w:szCs w:val="24"/>
                <w:bdr w:val="none" w:sz="0" w:space="0" w:color="auto"/>
              </w:rPr>
            </w:pPr>
            <w:r w:rsidRPr="004E1ACA">
              <w:rPr>
                <w:rFonts w:cs="Arial"/>
                <w:color w:val="auto"/>
                <w:sz w:val="20"/>
                <w:szCs w:val="24"/>
                <w:bdr w:val="none" w:sz="0" w:space="0" w:color="auto"/>
              </w:rPr>
              <w:t xml:space="preserve">Der Prüfling kommuniziert innerhalb seiner Mannschaft selten angemessen und kann für sich und andere selten Verantwortung übernehmen sowie selten sein Team angemessen motivieren.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jc w:val="both"/>
              <w:rPr>
                <w:rFonts w:cs="Arial"/>
                <w:color w:val="auto"/>
                <w:sz w:val="20"/>
                <w:szCs w:val="24"/>
                <w:bdr w:val="none" w:sz="0" w:space="0" w:color="auto"/>
              </w:rPr>
            </w:pPr>
            <w:r w:rsidRPr="004E1ACA">
              <w:rPr>
                <w:rFonts w:cs="Arial"/>
                <w:color w:val="auto"/>
                <w:sz w:val="20"/>
                <w:szCs w:val="24"/>
                <w:bdr w:val="none" w:sz="0" w:space="0" w:color="auto"/>
              </w:rPr>
              <w:t>Der Gesamteindruck der Bewegungsausführungen wird durch wiederholt auftretende Unsicherheiten gemindert und zeigt eingeschränkte Bewegungsqualität (Bewegungsrhythmus, Bewegungskopplung, Bewegungsdynamik, Bewegungspräzision, Bewegungsfluss).</w:t>
            </w: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bdr w:val="none" w:sz="0" w:space="0" w:color="auto" w:frame="1"/>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bdr w:val="none" w:sz="0" w:space="0" w:color="auto" w:frame="1"/>
        </w:rPr>
        <w:sectPr w:rsidR="004E1ACA" w:rsidRPr="004E1ACA">
          <w:footnotePr>
            <w:numRestart w:val="eachSect"/>
          </w:footnotePr>
          <w:pgSz w:w="11906" w:h="16838"/>
          <w:pgMar w:top="709" w:right="1417" w:bottom="567" w:left="1417" w:header="708" w:footer="708" w:gutter="0"/>
          <w:cols w:space="720"/>
        </w:sect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120" w:line="256" w:lineRule="auto"/>
        <w:jc w:val="center"/>
        <w:rPr>
          <w:rFonts w:cs="Times New Roman"/>
          <w:b/>
          <w:color w:val="auto"/>
          <w:sz w:val="28"/>
          <w:szCs w:val="28"/>
          <w:u w:val="single"/>
          <w:bdr w:val="none" w:sz="0" w:space="0" w:color="auto"/>
        </w:rPr>
      </w:pPr>
      <w:r w:rsidRPr="004E1ACA">
        <w:rPr>
          <w:rFonts w:cs="Times New Roman"/>
          <w:b/>
          <w:color w:val="auto"/>
          <w:sz w:val="28"/>
          <w:szCs w:val="28"/>
          <w:u w:val="single"/>
          <w:bdr w:val="none" w:sz="0" w:space="0" w:color="auto"/>
          <w:lang w:val="en-US"/>
        </w:rPr>
        <w:lastRenderedPageBreak/>
        <w:t xml:space="preserve">Beobachtungsbogen </w:t>
      </w:r>
      <w:r w:rsidRPr="004E1ACA">
        <w:rPr>
          <w:rFonts w:cs="Times New Roman"/>
          <w:b/>
          <w:color w:val="auto"/>
          <w:sz w:val="28"/>
          <w:szCs w:val="28"/>
          <w:u w:val="single"/>
          <w:bdr w:val="none" w:sz="0" w:space="0" w:color="auto"/>
        </w:rPr>
        <w:t>Handball: fakultative Leistungen – 1. Prüfungsteil</w:t>
      </w:r>
    </w:p>
    <w:tbl>
      <w:tblPr>
        <w:tblStyle w:val="Tabellenraster1"/>
        <w:tblW w:w="9782" w:type="dxa"/>
        <w:tblInd w:w="-431" w:type="dxa"/>
        <w:tblLook w:val="04A0" w:firstRow="1" w:lastRow="0" w:firstColumn="1" w:lastColumn="0" w:noHBand="0" w:noVBand="1"/>
      </w:tblPr>
      <w:tblGrid>
        <w:gridCol w:w="9782"/>
      </w:tblGrid>
      <w:tr w:rsidR="004E1ACA" w:rsidRPr="004E1ACA" w:rsidTr="004E1ACA">
        <w:trPr>
          <w:trHeight w:val="669"/>
        </w:trPr>
        <w:tc>
          <w:tcPr>
            <w:tcW w:w="9782" w:type="dxa"/>
            <w:tcBorders>
              <w:top w:val="single" w:sz="4" w:space="0" w:color="auto"/>
              <w:left w:val="single" w:sz="4" w:space="0" w:color="auto"/>
              <w:bottom w:val="single" w:sz="4" w:space="0" w:color="auto"/>
              <w:right w:val="single" w:sz="4" w:space="0" w:color="auto"/>
            </w:tcBorders>
            <w:shd w:val="clear" w:color="auto" w:fill="FFFFFF" w:themeFill="background1"/>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r w:rsidRPr="004E1ACA">
              <w:rPr>
                <w:rFonts w:cs="Times New Roman"/>
                <w:b/>
                <w:color w:val="auto"/>
                <w:bdr w:val="none" w:sz="0" w:space="0" w:color="auto"/>
              </w:rPr>
              <w:t>Beschreibung der Spielform:</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after="0" w:line="240" w:lineRule="auto"/>
              <w:jc w:val="both"/>
              <w:rPr>
                <w:rFonts w:cs="Times New Roman"/>
                <w:color w:val="auto"/>
                <w:sz w:val="28"/>
                <w:szCs w:val="28"/>
                <w:bdr w:val="none" w:sz="0" w:space="0" w:color="auto"/>
              </w:rPr>
            </w:pP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tabs>
          <w:tab w:val="left" w:pos="6804"/>
          <w:tab w:val="right" w:pos="10466"/>
        </w:tabs>
        <w:spacing w:before="240" w:after="120" w:line="256" w:lineRule="auto"/>
        <w:rPr>
          <w:rFonts w:cs="Times New Roman"/>
          <w:color w:val="auto"/>
          <w:sz w:val="28"/>
          <w:szCs w:val="28"/>
          <w:u w:val="single"/>
          <w:bdr w:val="none" w:sz="0" w:space="0" w:color="auto"/>
        </w:rPr>
      </w:pPr>
      <w:r w:rsidRPr="004E1ACA">
        <w:rPr>
          <w:rFonts w:cs="Times New Roman"/>
          <w:b/>
          <w:color w:val="auto"/>
          <w:sz w:val="28"/>
          <w:szCs w:val="28"/>
          <w:bdr w:val="none" w:sz="0" w:space="0" w:color="auto"/>
        </w:rPr>
        <w:t xml:space="preserve">Name des Prüflings: </w:t>
      </w:r>
      <w:r w:rsidRPr="004E1ACA">
        <w:rPr>
          <w:rFonts w:cs="Times New Roman"/>
          <w:color w:val="auto"/>
          <w:sz w:val="28"/>
          <w:szCs w:val="28"/>
          <w:u w:val="single"/>
          <w:bdr w:val="none" w:sz="0" w:space="0" w:color="auto"/>
        </w:rPr>
        <w:tab/>
      </w:r>
      <w:r w:rsidRPr="004E1ACA">
        <w:rPr>
          <w:rFonts w:cs="Times New Roman"/>
          <w:b/>
          <w:color w:val="auto"/>
          <w:sz w:val="28"/>
          <w:szCs w:val="28"/>
          <w:bdr w:val="none" w:sz="0" w:space="0" w:color="auto"/>
        </w:rPr>
        <w:t xml:space="preserve">   Datum: ________</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6"/>
        <w:gridCol w:w="1568"/>
        <w:gridCol w:w="2576"/>
      </w:tblGrid>
      <w:tr w:rsidR="004E1ACA" w:rsidRPr="004E1ACA" w:rsidTr="004E1ACA">
        <w:trPr>
          <w:jc w:val="center"/>
        </w:trPr>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Times New Roman"/>
                <w:b/>
                <w:color w:val="auto"/>
                <w:sz w:val="24"/>
                <w:szCs w:val="24"/>
                <w:bdr w:val="none" w:sz="0" w:space="0" w:color="auto"/>
              </w:rPr>
            </w:pPr>
            <w:r w:rsidRPr="004E1ACA">
              <w:rPr>
                <w:rFonts w:cs="Times New Roman"/>
                <w:b/>
                <w:color w:val="auto"/>
                <w:sz w:val="24"/>
                <w:szCs w:val="24"/>
                <w:bdr w:val="none" w:sz="0" w:space="0" w:color="auto"/>
              </w:rPr>
              <w:t>Beobachtungsschwerpunkte:</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rPr>
                <w:rFonts w:cs="Arial"/>
                <w:szCs w:val="24"/>
                <w:bdr w:val="none" w:sz="0" w:space="0" w:color="auto" w:frame="1"/>
                <w:lang w:eastAsia="de-DE"/>
              </w:rPr>
            </w:pPr>
            <w:r w:rsidRPr="004E1ACA">
              <w:rPr>
                <w:rFonts w:cs="Arial"/>
                <w:szCs w:val="24"/>
                <w:bdr w:val="none" w:sz="0" w:space="0" w:color="auto" w:frame="1"/>
                <w:lang w:eastAsia="de-DE"/>
              </w:rPr>
              <w:t xml:space="preserve">Funktionale Anwendung der technisch-koordinativen handballspezifischen Fertigkeiten und Fähigkeiten in Angriff und Abwehr in einer vorgegebenen einfachen Spielform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rPr>
                <w:rFonts w:cs="Arial"/>
                <w:szCs w:val="24"/>
                <w:bdr w:val="none" w:sz="0" w:space="0" w:color="auto" w:frame="1"/>
                <w:lang w:eastAsia="de-DE"/>
              </w:rPr>
            </w:pPr>
            <w:r w:rsidRPr="004E1ACA">
              <w:rPr>
                <w:rFonts w:cs="Arial"/>
                <w:szCs w:val="24"/>
                <w:bdr w:val="none" w:sz="0" w:space="0" w:color="auto" w:frame="1"/>
                <w:lang w:eastAsia="de-DE"/>
              </w:rPr>
              <w:t>Situationsgerechte Anwendung der technisch-koordinativen handballspezifischen Fertigkeiten und Fähigkeiten in Angriff und Abwehr in einer vorgegebenen einfachen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rPr>
                <w:rFonts w:cs="Arial"/>
                <w:szCs w:val="24"/>
                <w:bdr w:val="none" w:sz="0" w:space="0" w:color="auto" w:frame="1"/>
                <w:lang w:eastAsia="de-DE"/>
              </w:rPr>
            </w:pPr>
            <w:r w:rsidRPr="004E1ACA">
              <w:rPr>
                <w:rFonts w:cs="Arial"/>
                <w:szCs w:val="24"/>
                <w:bdr w:val="none" w:sz="0" w:space="0" w:color="auto" w:frame="1"/>
                <w:lang w:eastAsia="de-DE"/>
              </w:rPr>
              <w:t>Situationsgerechte Anwendung individualtaktisch-kognitiver Entscheidungen in Angriff und Abwehr in einer vorgegebenen einfachen Spielform</w:t>
            </w:r>
          </w:p>
        </w:tc>
      </w:tr>
      <w:tr w:rsidR="004E1ACA" w:rsidRPr="004E1ACA" w:rsidTr="004E1ACA">
        <w:trPr>
          <w:trHeight w:val="740"/>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4E1ACA">
              <w:rPr>
                <w:rFonts w:cs="Times New Roman"/>
                <w:b/>
                <w:color w:val="auto"/>
                <w:sz w:val="24"/>
                <w:szCs w:val="24"/>
                <w:bdr w:val="none" w:sz="0" w:space="0" w:color="auto"/>
              </w:rPr>
              <w:t>Indikatoren</w:t>
            </w:r>
          </w:p>
        </w:tc>
        <w:tc>
          <w:tcPr>
            <w:tcW w:w="4144" w:type="dxa"/>
            <w:gridSpan w:val="2"/>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4E1ACA">
              <w:rPr>
                <w:rFonts w:cs="Times New Roman"/>
                <w:b/>
                <w:color w:val="auto"/>
                <w:sz w:val="24"/>
                <w:szCs w:val="24"/>
                <w:bdr w:val="none" w:sz="0" w:space="0" w:color="auto"/>
              </w:rPr>
              <w:t>Anmerkungen</w:t>
            </w:r>
          </w:p>
        </w:tc>
      </w:tr>
      <w:tr w:rsidR="004E1ACA" w:rsidRPr="004E1ACA" w:rsidTr="004E1A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rFonts w:ascii="Times New Roman" w:hAnsi="Times New Roman" w:cs="Arial"/>
                <w:color w:val="auto"/>
                <w:sz w:val="20"/>
                <w:szCs w:val="24"/>
                <w:bdr w:val="none" w:sz="0" w:space="0" w:color="auto"/>
              </w:rPr>
            </w:pPr>
            <w:r w:rsidRPr="004E1ACA">
              <w:rPr>
                <w:rFonts w:cs="Arial"/>
                <w:color w:val="auto"/>
                <w:szCs w:val="24"/>
                <w:bdr w:val="none" w:sz="0" w:space="0" w:color="auto"/>
              </w:rPr>
              <w:t>Im Spiel situationsangemessen Positionen einnehmen und ggf. aufrechterhalten können.</w:t>
            </w:r>
          </w:p>
        </w:tc>
        <w:tc>
          <w:tcPr>
            <w:tcW w:w="4144"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rFonts w:ascii="Times New Roman" w:hAnsi="Times New Roman" w:cs="Arial"/>
                <w:color w:val="auto"/>
                <w:sz w:val="20"/>
                <w:szCs w:val="24"/>
                <w:bdr w:val="none" w:sz="0" w:space="0" w:color="auto"/>
              </w:rPr>
            </w:pPr>
            <w:r w:rsidRPr="004E1ACA">
              <w:rPr>
                <w:rFonts w:cs="Arial"/>
                <w:color w:val="auto"/>
                <w:szCs w:val="24"/>
                <w:bdr w:val="none" w:sz="0" w:space="0" w:color="auto"/>
              </w:rPr>
              <w:t>Technisch-koordinativ sicher und situationsangemessen dribbeln und werfen sowie ggf. passen und fangen können (auch in bedrängten Spielsituationen).</w:t>
            </w:r>
          </w:p>
        </w:tc>
        <w:tc>
          <w:tcPr>
            <w:tcW w:w="4144"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rFonts w:ascii="Times New Roman" w:hAnsi="Times New Roman" w:cs="Arial"/>
                <w:color w:val="auto"/>
                <w:sz w:val="20"/>
                <w:szCs w:val="24"/>
                <w:bdr w:val="none" w:sz="0" w:space="0" w:color="auto"/>
              </w:rPr>
            </w:pPr>
            <w:r w:rsidRPr="004E1ACA">
              <w:rPr>
                <w:rFonts w:cs="Arial"/>
                <w:color w:val="auto"/>
                <w:szCs w:val="24"/>
                <w:bdr w:val="none" w:sz="0" w:space="0" w:color="auto"/>
              </w:rPr>
              <w:t>In der Offensive individualtaktisch-kognitiv grundlegende Verhaltensweisen können (z. B. Wurf- und Körpertäuschung zur und gegen die Wurfhand, Durchbruch, Freilaufen, Anbieten) zielorientiert anwenden.</w:t>
            </w:r>
          </w:p>
        </w:tc>
        <w:tc>
          <w:tcPr>
            <w:tcW w:w="4144"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80"/>
          <w:jc w:val="center"/>
        </w:trPr>
        <w:tc>
          <w:tcPr>
            <w:tcW w:w="5665"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jc w:val="both"/>
              <w:rPr>
                <w:rFonts w:ascii="Times New Roman" w:hAnsi="Times New Roman" w:cs="Arial"/>
                <w:color w:val="auto"/>
                <w:sz w:val="20"/>
                <w:szCs w:val="24"/>
                <w:bdr w:val="none" w:sz="0" w:space="0" w:color="auto"/>
              </w:rPr>
            </w:pPr>
            <w:r w:rsidRPr="004E1ACA">
              <w:rPr>
                <w:rFonts w:cs="Arial"/>
                <w:color w:val="auto"/>
                <w:szCs w:val="24"/>
                <w:bdr w:val="none" w:sz="0" w:space="0" w:color="auto"/>
              </w:rPr>
              <w:t>In der Defensive individualtaktisch-kognitiv grundlegende Verhaltensweisen (z. B. zugewiesenen Angreifer in seinen Aktionen regelgerecht einschränken, angemessen auf Wurf- und Körpertäuschungen reagieren, Passwege verhindern) zielorientiert anwenden können.</w:t>
            </w:r>
          </w:p>
        </w:tc>
        <w:tc>
          <w:tcPr>
            <w:tcW w:w="4144"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4E1ACA" w:rsidRPr="004E1ACA" w:rsidTr="004E1ACA">
        <w:trPr>
          <w:trHeight w:val="724"/>
          <w:jc w:val="center"/>
        </w:trPr>
        <w:tc>
          <w:tcPr>
            <w:tcW w:w="7233" w:type="dxa"/>
            <w:gridSpan w:val="2"/>
            <w:tcBorders>
              <w:top w:val="single" w:sz="4" w:space="0" w:color="auto"/>
              <w:left w:val="nil"/>
              <w:bottom w:val="nil"/>
              <w:right w:val="nil"/>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r w:rsidRPr="004E1ACA">
              <w:rPr>
                <w:rFonts w:cs="Times New Roman"/>
                <w:b/>
                <w:color w:val="auto"/>
                <w:sz w:val="24"/>
                <w:szCs w:val="24"/>
                <w:bdr w:val="none" w:sz="0" w:space="0" w:color="auto"/>
              </w:rPr>
              <w:t xml:space="preserve">                                        </w:t>
            </w:r>
          </w:p>
        </w:tc>
        <w:tc>
          <w:tcPr>
            <w:tcW w:w="2576" w:type="dxa"/>
            <w:tcBorders>
              <w:top w:val="single" w:sz="4" w:space="0" w:color="auto"/>
              <w:left w:val="nil"/>
              <w:bottom w:val="nil"/>
              <w:right w:val="nil"/>
            </w:tcBorders>
            <w:vAlign w:val="center"/>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both"/>
        <w:rPr>
          <w:rFonts w:cs="Times New Roman"/>
          <w:color w:val="auto"/>
          <w:sz w:val="2"/>
          <w:szCs w:val="2"/>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right"/>
        <w:rPr>
          <w:rFonts w:cs="Times New Roman"/>
          <w:b/>
          <w:color w:val="auto"/>
          <w:sz w:val="28"/>
          <w:szCs w:val="28"/>
          <w:u w:val="single"/>
          <w:bdr w:val="none" w:sz="0" w:space="0" w:color="auto"/>
        </w:rPr>
      </w:pPr>
      <w:r w:rsidRPr="004E1ACA">
        <w:rPr>
          <w:rFonts w:cs="Times New Roman"/>
          <w:b/>
          <w:color w:val="auto"/>
          <w:sz w:val="24"/>
          <w:szCs w:val="24"/>
          <w:bdr w:val="none" w:sz="0" w:space="0" w:color="auto"/>
        </w:rPr>
        <w:t>NOTE (ggf. Tendenz</w:t>
      </w:r>
      <w:proofErr w:type="gramStart"/>
      <w:r w:rsidRPr="004E1ACA">
        <w:rPr>
          <w:rFonts w:cs="Times New Roman"/>
          <w:b/>
          <w:color w:val="auto"/>
          <w:sz w:val="24"/>
          <w:szCs w:val="24"/>
          <w:bdr w:val="none" w:sz="0" w:space="0" w:color="auto"/>
        </w:rPr>
        <w:t>):_</w:t>
      </w:r>
      <w:proofErr w:type="gramEnd"/>
      <w:r w:rsidRPr="004E1ACA">
        <w:rPr>
          <w:rFonts w:cs="Times New Roman"/>
          <w:b/>
          <w:color w:val="auto"/>
          <w:sz w:val="24"/>
          <w:szCs w:val="24"/>
          <w:bdr w:val="none" w:sz="0" w:space="0" w:color="auto"/>
        </w:rPr>
        <w:t>____________</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Times New Roman"/>
          <w:color w:val="auto"/>
          <w:sz w:val="28"/>
          <w:szCs w:val="28"/>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Times New Roman"/>
          <w:color w:val="auto"/>
          <w:sz w:val="28"/>
          <w:szCs w:val="28"/>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cs="Times New Roman"/>
          <w:color w:val="auto"/>
          <w:sz w:val="28"/>
          <w:szCs w:val="28"/>
          <w:bdr w:val="none" w:sz="0" w:space="0" w:color="auto"/>
        </w:rPr>
        <w:sectPr w:rsidR="004E1ACA" w:rsidRPr="004E1ACA">
          <w:pgSz w:w="11906" w:h="16838"/>
          <w:pgMar w:top="851" w:right="1417" w:bottom="709" w:left="1417" w:header="708" w:footer="708" w:gutter="0"/>
          <w:cols w:space="720"/>
        </w:sect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jc w:val="center"/>
        <w:rPr>
          <w:rFonts w:cs="Times New Roman"/>
          <w:b/>
          <w:color w:val="auto"/>
          <w:sz w:val="28"/>
          <w:szCs w:val="28"/>
          <w:u w:val="single"/>
          <w:bdr w:val="none" w:sz="0" w:space="0" w:color="auto"/>
        </w:rPr>
      </w:pPr>
      <w:r w:rsidRPr="004E1ACA">
        <w:rPr>
          <w:rFonts w:cs="Times New Roman"/>
          <w:b/>
          <w:color w:val="auto"/>
          <w:sz w:val="28"/>
          <w:szCs w:val="28"/>
          <w:u w:val="single"/>
          <w:bdr w:val="none" w:sz="0" w:space="0" w:color="auto"/>
          <w:lang w:val="en-US"/>
        </w:rPr>
        <w:lastRenderedPageBreak/>
        <w:t xml:space="preserve">Beobachtungsbogen </w:t>
      </w:r>
      <w:r w:rsidRPr="004E1ACA">
        <w:rPr>
          <w:rFonts w:cs="Times New Roman"/>
          <w:b/>
          <w:color w:val="auto"/>
          <w:sz w:val="28"/>
          <w:szCs w:val="28"/>
          <w:u w:val="single"/>
          <w:bdr w:val="none" w:sz="0" w:space="0" w:color="auto"/>
        </w:rPr>
        <w:t>Handball: fakultative Leistungen – 2. Prüfungsteil</w:t>
      </w:r>
    </w:p>
    <w:tbl>
      <w:tblPr>
        <w:tblStyle w:val="Tabellenraster1"/>
        <w:tblW w:w="9640" w:type="dxa"/>
        <w:tblInd w:w="-147" w:type="dxa"/>
        <w:tblLook w:val="04A0" w:firstRow="1" w:lastRow="0" w:firstColumn="1" w:lastColumn="0" w:noHBand="0" w:noVBand="1"/>
      </w:tblPr>
      <w:tblGrid>
        <w:gridCol w:w="9640"/>
      </w:tblGrid>
      <w:tr w:rsidR="004E1ACA" w:rsidRPr="004E1ACA" w:rsidTr="004E1ACA">
        <w:trPr>
          <w:trHeight w:val="1763"/>
        </w:trPr>
        <w:tc>
          <w:tcPr>
            <w:tcW w:w="9640" w:type="dxa"/>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cs="Times New Roman"/>
                <w:b/>
                <w:color w:val="auto"/>
                <w:bdr w:val="none" w:sz="0" w:space="0" w:color="auto"/>
              </w:rPr>
            </w:pPr>
            <w:r w:rsidRPr="004E1ACA">
              <w:rPr>
                <w:rFonts w:cs="Times New Roman"/>
                <w:b/>
                <w:color w:val="auto"/>
                <w:bdr w:val="none" w:sz="0" w:space="0" w:color="auto"/>
              </w:rPr>
              <w:t xml:space="preserve">Beschreibung der Spielform: </w:t>
            </w: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cs="Times New Roman"/>
                <w:b/>
                <w:color w:val="auto"/>
                <w:bdr w:val="none" w:sz="0" w:space="0" w:color="auto"/>
              </w:rPr>
            </w:pPr>
          </w:p>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cs="Times New Roman"/>
                <w:b/>
                <w:color w:val="auto"/>
                <w:bdr w:val="none" w:sz="0" w:space="0" w:color="auto"/>
              </w:rPr>
            </w:pP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6804"/>
          <w:tab w:val="right" w:pos="10466"/>
        </w:tabs>
        <w:spacing w:before="120" w:after="120" w:line="256" w:lineRule="auto"/>
        <w:jc w:val="both"/>
        <w:rPr>
          <w:rFonts w:cs="Times New Roman"/>
          <w:color w:val="auto"/>
          <w:sz w:val="28"/>
          <w:szCs w:val="28"/>
          <w:u w:val="single"/>
          <w:bdr w:val="none" w:sz="0" w:space="0" w:color="auto"/>
        </w:rPr>
      </w:pPr>
      <w:r w:rsidRPr="004E1ACA">
        <w:rPr>
          <w:rFonts w:cs="Times New Roman"/>
          <w:b/>
          <w:color w:val="auto"/>
          <w:sz w:val="28"/>
          <w:szCs w:val="28"/>
          <w:bdr w:val="none" w:sz="0" w:space="0" w:color="auto"/>
        </w:rPr>
        <w:t xml:space="preserve">Name des Prüflings: </w:t>
      </w:r>
      <w:r w:rsidRPr="004E1ACA">
        <w:rPr>
          <w:rFonts w:cs="Times New Roman"/>
          <w:color w:val="auto"/>
          <w:sz w:val="28"/>
          <w:szCs w:val="28"/>
          <w:u w:val="single"/>
          <w:bdr w:val="none" w:sz="0" w:space="0" w:color="auto"/>
        </w:rPr>
        <w:tab/>
      </w:r>
      <w:r w:rsidRPr="004E1ACA">
        <w:rPr>
          <w:rFonts w:cs="Times New Roman"/>
          <w:b/>
          <w:color w:val="auto"/>
          <w:sz w:val="28"/>
          <w:szCs w:val="28"/>
          <w:bdr w:val="none" w:sz="0" w:space="0" w:color="auto"/>
        </w:rPr>
        <w:t xml:space="preserve">   Datum: __________</w:t>
      </w:r>
    </w:p>
    <w:tbl>
      <w:tblPr>
        <w:tblW w:w="96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6229"/>
        <w:gridCol w:w="1146"/>
        <w:gridCol w:w="2259"/>
      </w:tblGrid>
      <w:tr w:rsidR="004E1ACA" w:rsidRPr="004E1ACA" w:rsidTr="004E1ACA">
        <w:trPr>
          <w:trHeight w:val="2949"/>
        </w:trPr>
        <w:tc>
          <w:tcPr>
            <w:tcW w:w="9634" w:type="dxa"/>
            <w:gridSpan w:val="3"/>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jc w:val="both"/>
              <w:rPr>
                <w:rFonts w:cs="Times New Roman"/>
                <w:b/>
                <w:color w:val="auto"/>
                <w:sz w:val="24"/>
                <w:szCs w:val="24"/>
                <w:bdr w:val="none" w:sz="0" w:space="0" w:color="auto"/>
              </w:rPr>
            </w:pPr>
            <w:r w:rsidRPr="004E1ACA">
              <w:rPr>
                <w:rFonts w:cs="Times New Roman"/>
                <w:b/>
                <w:color w:val="auto"/>
                <w:sz w:val="24"/>
                <w:szCs w:val="24"/>
                <w:bdr w:val="none" w:sz="0" w:space="0" w:color="auto"/>
              </w:rPr>
              <w:t>Beobachtungsschwerpunkte:</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 xml:space="preserve">Funktionale Anwendung der technisch-koordinativen handballspezifischen Fertigkeiten und Fähigkeiten in Angriff und Abwehr in einer vorgegebenen komplexen Spielform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der technisch-koordinativen handballspezifischen Fertigkeiten und Fähigkeiten in Angriff und Abwehr in einer vorgegebenen komplexen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individualtaktisch-kognitiver Entscheidungen in Angriff und Abwehr in einer vorgegebenen komplexen Spielform</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 xml:space="preserve">Situationsgerechte Anwendung gruppentaktisch-kognitiver Entscheidungen in einer vorgegebenen komplexen Spielform </w:t>
            </w:r>
          </w:p>
          <w:p w:rsidR="004E1ACA" w:rsidRPr="004E1ACA" w:rsidRDefault="004E1ACA" w:rsidP="004E1AC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ind w:left="284" w:hanging="284"/>
              <w:jc w:val="both"/>
              <w:rPr>
                <w:rFonts w:cs="Arial"/>
                <w:szCs w:val="24"/>
                <w:bdr w:val="none" w:sz="0" w:space="0" w:color="auto" w:frame="1"/>
                <w:lang w:eastAsia="de-DE"/>
              </w:rPr>
            </w:pPr>
            <w:r w:rsidRPr="004E1ACA">
              <w:rPr>
                <w:rFonts w:cs="Arial"/>
                <w:szCs w:val="24"/>
                <w:bdr w:val="none" w:sz="0" w:space="0" w:color="auto" w:frame="1"/>
                <w:lang w:eastAsia="de-DE"/>
              </w:rPr>
              <w:t>Situationsgerechte Anwendung mannschaftstaktisch-kognitiver Entscheidungen in Angriff und Abwehr in einer vorgegebenen komplexen Spielform</w:t>
            </w:r>
          </w:p>
        </w:tc>
      </w:tr>
      <w:tr w:rsidR="004E1ACA" w:rsidRPr="004E1ACA" w:rsidTr="004E1ACA">
        <w:trPr>
          <w:trHeight w:val="665"/>
        </w:trPr>
        <w:tc>
          <w:tcPr>
            <w:tcW w:w="6229" w:type="dxa"/>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4E1ACA">
              <w:rPr>
                <w:rFonts w:cs="Times New Roman"/>
                <w:b/>
                <w:color w:val="auto"/>
                <w:sz w:val="24"/>
                <w:szCs w:val="24"/>
                <w:bdr w:val="none" w:sz="0" w:space="0" w:color="auto"/>
              </w:rPr>
              <w:t>Indikatoren</w:t>
            </w:r>
          </w:p>
        </w:tc>
        <w:tc>
          <w:tcPr>
            <w:tcW w:w="3405" w:type="dxa"/>
            <w:gridSpan w:val="2"/>
            <w:tcBorders>
              <w:top w:val="single" w:sz="4" w:space="0" w:color="auto"/>
              <w:left w:val="single" w:sz="4" w:space="0" w:color="auto"/>
              <w:bottom w:val="single" w:sz="4" w:space="0" w:color="auto"/>
              <w:right w:val="single" w:sz="4" w:space="0" w:color="auto"/>
            </w:tcBorders>
            <w:vAlign w:val="center"/>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jc w:val="center"/>
              <w:rPr>
                <w:rFonts w:cs="Times New Roman"/>
                <w:b/>
                <w:color w:val="auto"/>
                <w:sz w:val="24"/>
                <w:szCs w:val="24"/>
                <w:bdr w:val="none" w:sz="0" w:space="0" w:color="auto"/>
              </w:rPr>
            </w:pPr>
            <w:r w:rsidRPr="004E1ACA">
              <w:rPr>
                <w:rFonts w:cs="Times New Roman"/>
                <w:b/>
                <w:color w:val="auto"/>
                <w:sz w:val="24"/>
                <w:szCs w:val="24"/>
                <w:bdr w:val="none" w:sz="0" w:space="0" w:color="auto"/>
              </w:rPr>
              <w:t>Anmerkungen</w:t>
            </w: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Im Spiel situationsangemessen Positionen einnehmen und ggf. aufrechterhalten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Technisch-koordinative Fertigkeiten in den handballspezifischen Grundtechniken (Ballannahme, Prellen, verschiedene Passformen, verschiedene Wurftechniken: Schlagwurf, Sprungwurf, Grundpositionen in der Abwehr, Blocken) situationsgerecht anwenden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In seinem Spielverhalten die individualtaktisch-kognitiven Grundregeln (Freilaufen, sich Anbieten, Stoßen, Kreuzen, Sperren/Absetzen, Durchbrüche verhindern, Bälle abfangen) zielorientiert anwenden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after="0" w:line="240" w:lineRule="auto"/>
              <w:ind w:left="-15"/>
              <w:rPr>
                <w:rFonts w:cs="Times New Roman"/>
                <w:color w:val="auto"/>
                <w:sz w:val="20"/>
                <w:szCs w:val="20"/>
                <w:bdr w:val="none" w:sz="0" w:space="0" w:color="auto"/>
              </w:rPr>
            </w:pP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Vorgegebene Gruppen- und Mannschaftstaktiken (z. B. Doppelpass, Kreuzen, Sperren, Auflösen zum Kreis) und Mannschaftstaktiken (z. B. Überzahlspiel, Unterzahlspiel) möglichst sicher und zielorientiert situationsangemessen anwenden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Mit Mitspielerinnen und Mitspielern verbal und nonverbal zielorientiert im Spiel kommunizieren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4E1ACA" w:rsidRPr="004E1ACA" w:rsidTr="004E1ACA">
        <w:trPr>
          <w:trHeight w:val="611"/>
        </w:trPr>
        <w:tc>
          <w:tcPr>
            <w:tcW w:w="6229" w:type="dxa"/>
            <w:tcBorders>
              <w:top w:val="single" w:sz="4" w:space="0" w:color="auto"/>
              <w:left w:val="single" w:sz="4" w:space="0" w:color="auto"/>
              <w:bottom w:val="single" w:sz="4" w:space="0" w:color="auto"/>
              <w:right w:val="single" w:sz="4" w:space="0" w:color="auto"/>
            </w:tcBorders>
            <w:hideMark/>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40" w:lineRule="auto"/>
              <w:contextualSpacing/>
              <w:rPr>
                <w:rFonts w:ascii="Times New Roman" w:hAnsi="Times New Roman" w:cs="Arial"/>
                <w:sz w:val="20"/>
                <w:szCs w:val="24"/>
                <w:bdr w:val="none" w:sz="0" w:space="0" w:color="auto" w:frame="1"/>
              </w:rPr>
            </w:pPr>
            <w:r w:rsidRPr="004E1ACA">
              <w:rPr>
                <w:rFonts w:cs="Arial"/>
                <w:szCs w:val="24"/>
                <w:bdr w:val="none" w:sz="0" w:space="0" w:color="auto" w:frame="1"/>
                <w:lang w:eastAsia="de-DE"/>
              </w:rPr>
              <w:t xml:space="preserve">Sein Team durch motiviertes, sozial angemessenes und faires sowie auf mannschaftliche Geschlossenheit ausgerichtetes Verhalten unterstützen und für den Spielaufbau Verantwortung übernehmen bzw. sich an mannschaftliche Absprachen halten </w:t>
            </w:r>
            <w:r w:rsidRPr="004E1ACA">
              <w:rPr>
                <w:rFonts w:cs="Arial"/>
                <w:color w:val="auto"/>
                <w:szCs w:val="24"/>
                <w:bdr w:val="none" w:sz="0" w:space="0" w:color="auto"/>
              </w:rPr>
              <w:t>können</w:t>
            </w:r>
            <w:r w:rsidRPr="004E1ACA">
              <w:rPr>
                <w:rFonts w:cs="Arial"/>
                <w:szCs w:val="24"/>
                <w:bdr w:val="none" w:sz="0" w:space="0" w:color="auto" w:frame="1"/>
                <w:lang w:eastAsia="de-DE"/>
              </w:rPr>
              <w:t>.</w:t>
            </w:r>
          </w:p>
        </w:tc>
        <w:tc>
          <w:tcPr>
            <w:tcW w:w="3405" w:type="dxa"/>
            <w:gridSpan w:val="2"/>
            <w:tcBorders>
              <w:top w:val="single" w:sz="4" w:space="0" w:color="auto"/>
              <w:left w:val="single" w:sz="4" w:space="0" w:color="auto"/>
              <w:bottom w:val="single" w:sz="4" w:space="0" w:color="auto"/>
              <w:right w:val="single" w:sz="4" w:space="0" w:color="auto"/>
            </w:tcBorders>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after="0" w:line="256" w:lineRule="auto"/>
              <w:rPr>
                <w:rFonts w:cs="Times New Roman"/>
                <w:b/>
                <w:color w:val="auto"/>
                <w:sz w:val="20"/>
                <w:szCs w:val="20"/>
                <w:bdr w:val="none" w:sz="0" w:space="0" w:color="auto"/>
              </w:rPr>
            </w:pPr>
          </w:p>
        </w:tc>
      </w:tr>
      <w:tr w:rsidR="004E1ACA" w:rsidRPr="004E1ACA" w:rsidTr="004E1ACA">
        <w:trPr>
          <w:trHeight w:val="651"/>
        </w:trPr>
        <w:tc>
          <w:tcPr>
            <w:tcW w:w="7375" w:type="dxa"/>
            <w:gridSpan w:val="2"/>
            <w:tcBorders>
              <w:top w:val="single" w:sz="4" w:space="0" w:color="auto"/>
              <w:left w:val="nil"/>
              <w:bottom w:val="nil"/>
              <w:right w:val="nil"/>
            </w:tcBorders>
            <w:vAlign w:val="center"/>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p>
        </w:tc>
        <w:tc>
          <w:tcPr>
            <w:tcW w:w="2259" w:type="dxa"/>
            <w:tcBorders>
              <w:top w:val="single" w:sz="4" w:space="0" w:color="auto"/>
              <w:left w:val="nil"/>
              <w:bottom w:val="nil"/>
              <w:right w:val="nil"/>
            </w:tcBorders>
            <w:vAlign w:val="center"/>
          </w:tcPr>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pacing w:before="240" w:after="0" w:line="240" w:lineRule="auto"/>
              <w:ind w:left="-15"/>
              <w:jc w:val="right"/>
              <w:rPr>
                <w:rFonts w:cs="Times New Roman"/>
                <w:color w:val="auto"/>
                <w:sz w:val="24"/>
                <w:szCs w:val="24"/>
                <w:bdr w:val="none" w:sz="0" w:space="0" w:color="auto"/>
              </w:rPr>
            </w:pPr>
          </w:p>
        </w:tc>
      </w:tr>
    </w:tbl>
    <w:p w:rsidR="004E1ACA" w:rsidRPr="004E1ACA" w:rsidRDefault="004E1ACA" w:rsidP="004E1ACA">
      <w:pPr>
        <w:pBdr>
          <w:top w:val="none" w:sz="0" w:space="0" w:color="auto"/>
          <w:left w:val="none" w:sz="0" w:space="0" w:color="auto"/>
          <w:bottom w:val="none" w:sz="0" w:space="0" w:color="auto"/>
          <w:right w:val="none" w:sz="0" w:space="0" w:color="auto"/>
          <w:between w:val="none" w:sz="0" w:space="0" w:color="auto"/>
          <w:bar w:val="none" w:sz="0" w:color="auto"/>
        </w:pBdr>
        <w:spacing w:line="256" w:lineRule="auto"/>
        <w:jc w:val="right"/>
        <w:rPr>
          <w:rFonts w:cs="Times New Roman"/>
          <w:color w:val="auto"/>
          <w:sz w:val="2"/>
          <w:szCs w:val="2"/>
          <w:bdr w:val="none" w:sz="0" w:space="0" w:color="auto"/>
        </w:rPr>
      </w:pPr>
      <w:r w:rsidRPr="004E1ACA">
        <w:rPr>
          <w:rFonts w:cs="Times New Roman"/>
          <w:b/>
          <w:color w:val="auto"/>
          <w:sz w:val="24"/>
          <w:szCs w:val="24"/>
          <w:bdr w:val="none" w:sz="0" w:space="0" w:color="auto"/>
        </w:rPr>
        <w:t>NOTE (ggf. Tendenz):</w:t>
      </w:r>
      <w:r>
        <w:rPr>
          <w:rFonts w:cs="Times New Roman"/>
          <w:b/>
          <w:color w:val="auto"/>
          <w:sz w:val="24"/>
          <w:szCs w:val="24"/>
          <w:bdr w:val="none" w:sz="0" w:space="0" w:color="auto"/>
        </w:rPr>
        <w:t xml:space="preserve"> </w:t>
      </w:r>
      <w:r w:rsidRPr="004E1ACA">
        <w:rPr>
          <w:rFonts w:cs="Times New Roman"/>
          <w:b/>
          <w:color w:val="auto"/>
          <w:sz w:val="24"/>
          <w:szCs w:val="24"/>
          <w:bdr w:val="none" w:sz="0" w:space="0" w:color="auto"/>
        </w:rPr>
        <w:t>_________________</w:t>
      </w:r>
    </w:p>
    <w:p w:rsidR="00D377CC" w:rsidRPr="00FF3452" w:rsidRDefault="00D377CC" w:rsidP="004E1ACA">
      <w:pPr>
        <w:keepNext/>
        <w:keepLines/>
        <w:spacing w:before="240" w:after="120" w:line="240" w:lineRule="auto"/>
        <w:outlineLvl w:val="1"/>
        <w:rPr>
          <w:rFonts w:asciiTheme="majorHAnsi" w:hAnsiTheme="majorHAnsi" w:cs="Arial"/>
          <w:b/>
          <w:sz w:val="8"/>
          <w:szCs w:val="8"/>
        </w:rPr>
      </w:pPr>
    </w:p>
    <w:sectPr w:rsidR="00D377CC" w:rsidRPr="00FF3452" w:rsidSect="00FA2228">
      <w:pgSz w:w="11899" w:h="17340"/>
      <w:pgMar w:top="851" w:right="838" w:bottom="567" w:left="1163"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D26" w:rsidRDefault="00F23D26" w:rsidP="00A4115B">
      <w:pPr>
        <w:spacing w:after="0" w:line="240" w:lineRule="auto"/>
      </w:pPr>
      <w:r>
        <w:separator/>
      </w:r>
    </w:p>
  </w:endnote>
  <w:endnote w:type="continuationSeparator" w:id="0">
    <w:p w:rsidR="00F23D26" w:rsidRDefault="00F23D26" w:rsidP="00A4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D26" w:rsidRDefault="00F23D26" w:rsidP="00A4115B">
      <w:pPr>
        <w:spacing w:after="0" w:line="240" w:lineRule="auto"/>
      </w:pPr>
      <w:r>
        <w:separator/>
      </w:r>
    </w:p>
  </w:footnote>
  <w:footnote w:type="continuationSeparator" w:id="0">
    <w:p w:rsidR="00F23D26" w:rsidRDefault="00F23D26" w:rsidP="00A4115B">
      <w:pPr>
        <w:spacing w:after="0" w:line="240" w:lineRule="auto"/>
      </w:pPr>
      <w:r>
        <w:continuationSeparator/>
      </w:r>
    </w:p>
  </w:footnote>
  <w:footnote w:id="1">
    <w:p w:rsidR="00D377CC" w:rsidRDefault="00D377CC" w:rsidP="00D377CC">
      <w:pPr>
        <w:pStyle w:val="Funotentext"/>
      </w:pPr>
      <w:r>
        <w:rPr>
          <w:rStyle w:val="Funotenzeichen"/>
        </w:rPr>
        <w:footnoteRef/>
      </w:r>
      <w:r>
        <w:t xml:space="preserve"> </w:t>
      </w:r>
      <w:r w:rsidRPr="00E06FC4">
        <w:rPr>
          <w:rFonts w:cs="Times New Roman"/>
          <w:color w:val="auto"/>
          <w:sz w:val="18"/>
          <w:szCs w:val="18"/>
          <w:bdr w:val="none" w:sz="0" w:space="0" w:color="auto"/>
        </w:rPr>
        <w:t>vgl. Prüfungsanforderungen, Heft 4734/2 (Anlage zum Kernlehrplan Sport SII)</w:t>
      </w:r>
    </w:p>
  </w:footnote>
  <w:footnote w:id="2">
    <w:p w:rsidR="00D377CC" w:rsidRDefault="00D377CC" w:rsidP="00D377CC">
      <w:pPr>
        <w:pStyle w:val="Funotentext"/>
      </w:pPr>
      <w:r>
        <w:rPr>
          <w:rStyle w:val="Funotenzeichen"/>
        </w:rPr>
        <w:footnoteRef/>
      </w:r>
      <w:r>
        <w:t xml:space="preserve"> </w:t>
      </w:r>
      <w:r w:rsidRPr="00E06FC4">
        <w:rPr>
          <w:rFonts w:cs="Times New Roman"/>
          <w:color w:val="auto"/>
          <w:sz w:val="18"/>
          <w:szCs w:val="18"/>
          <w:bdr w:val="none" w:sz="0" w:space="0" w:color="auto"/>
        </w:rPr>
        <w:t>vgl. Ergänzende Hinweise, Heft 4734/21 (Anlage zum Heft 4734/2)</w:t>
      </w:r>
    </w:p>
  </w:footnote>
  <w:footnote w:id="3">
    <w:p w:rsidR="00D377CC" w:rsidRDefault="00D377CC" w:rsidP="00D377CC">
      <w:pPr>
        <w:pStyle w:val="Funotentext"/>
      </w:pPr>
      <w:r>
        <w:rPr>
          <w:rStyle w:val="Funotenzeichen"/>
        </w:rPr>
        <w:footnoteRef/>
      </w:r>
      <w:r>
        <w:t xml:space="preserve"> </w:t>
      </w:r>
      <w:r w:rsidRPr="00054B36">
        <w:rPr>
          <w:sz w:val="18"/>
        </w:rPr>
        <w:t>Formulierungsbeispiel</w:t>
      </w:r>
    </w:p>
  </w:footnote>
  <w:footnote w:id="4">
    <w:p w:rsidR="004E1ACA" w:rsidRDefault="004E1ACA" w:rsidP="004E1ACA">
      <w:pPr>
        <w:pStyle w:val="Funotentext"/>
      </w:pPr>
      <w:r>
        <w:rPr>
          <w:rStyle w:val="Funotenzeichen"/>
        </w:rPr>
        <w:footnoteRef/>
      </w:r>
      <w:r>
        <w:t xml:space="preserve"> </w:t>
      </w:r>
      <w:r>
        <w:rPr>
          <w:rFonts w:cs="Times New Roman"/>
          <w:color w:val="auto"/>
          <w:sz w:val="18"/>
          <w:szCs w:val="18"/>
          <w:bdr w:val="none" w:sz="0" w:space="0" w:color="auto" w:frame="1"/>
        </w:rPr>
        <w:t>vgl. Prüfungsanforderungen, Heft 4734/2 (Anlage zum Kernlehrplan Sport SII)</w:t>
      </w:r>
    </w:p>
  </w:footnote>
  <w:footnote w:id="5">
    <w:p w:rsidR="004E1ACA" w:rsidRDefault="004E1ACA" w:rsidP="004E1ACA">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6">
    <w:p w:rsidR="004E1ACA" w:rsidRDefault="004E1ACA" w:rsidP="004E1ACA">
      <w:pPr>
        <w:pStyle w:val="Funotentext"/>
      </w:pPr>
      <w:r>
        <w:rPr>
          <w:rStyle w:val="Funotenzeichen"/>
        </w:rPr>
        <w:footnoteRef/>
      </w:r>
      <w:r>
        <w:t xml:space="preserve"> </w:t>
      </w:r>
      <w:r>
        <w:rPr>
          <w:sz w:val="18"/>
        </w:rPr>
        <w:t>Formulierungsbeispiel</w:t>
      </w:r>
    </w:p>
  </w:footnote>
  <w:footnote w:id="7">
    <w:p w:rsidR="004E1ACA" w:rsidRDefault="004E1ACA" w:rsidP="004E1ACA">
      <w:pPr>
        <w:pStyle w:val="Funotentext"/>
      </w:pPr>
      <w:r>
        <w:rPr>
          <w:rStyle w:val="Funotenzeichen"/>
        </w:rPr>
        <w:footnoteRef/>
      </w:r>
      <w:r>
        <w:t xml:space="preserve"> </w:t>
      </w:r>
      <w:r>
        <w:rPr>
          <w:sz w:val="18"/>
          <w:szCs w:val="18"/>
        </w:rPr>
        <w:t>vgl. Ergänzende Hinweise, Heft 4734/21 (Anlage zum Heft 4734/2)</w:t>
      </w:r>
    </w:p>
  </w:footnote>
  <w:footnote w:id="8">
    <w:p w:rsidR="004E1ACA" w:rsidRDefault="004E1ACA" w:rsidP="004E1ACA">
      <w:pPr>
        <w:pStyle w:val="Funotentext"/>
      </w:pPr>
      <w:r>
        <w:rPr>
          <w:rStyle w:val="Funotenzeichen"/>
        </w:rPr>
        <w:footnoteRef/>
      </w:r>
      <w:r>
        <w:rPr>
          <w:sz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45AB6"/>
    <w:multiLevelType w:val="hybridMultilevel"/>
    <w:tmpl w:val="8C4EF9FC"/>
    <w:lvl w:ilvl="0" w:tplc="04070001">
      <w:start w:val="1"/>
      <w:numFmt w:val="bullet"/>
      <w:lvlText w:val=""/>
      <w:lvlJc w:val="left"/>
      <w:pPr>
        <w:ind w:left="311" w:hanging="360"/>
      </w:pPr>
      <w:rPr>
        <w:rFonts w:ascii="Symbol" w:hAnsi="Symbol" w:hint="default"/>
      </w:rPr>
    </w:lvl>
    <w:lvl w:ilvl="1" w:tplc="04070003" w:tentative="1">
      <w:start w:val="1"/>
      <w:numFmt w:val="bullet"/>
      <w:lvlText w:val="o"/>
      <w:lvlJc w:val="left"/>
      <w:pPr>
        <w:ind w:left="1031" w:hanging="360"/>
      </w:pPr>
      <w:rPr>
        <w:rFonts w:ascii="Courier New" w:hAnsi="Courier New" w:cs="Courier New" w:hint="default"/>
      </w:rPr>
    </w:lvl>
    <w:lvl w:ilvl="2" w:tplc="04070005" w:tentative="1">
      <w:start w:val="1"/>
      <w:numFmt w:val="bullet"/>
      <w:lvlText w:val=""/>
      <w:lvlJc w:val="left"/>
      <w:pPr>
        <w:ind w:left="1751" w:hanging="360"/>
      </w:pPr>
      <w:rPr>
        <w:rFonts w:ascii="Wingdings" w:hAnsi="Wingdings" w:hint="default"/>
      </w:rPr>
    </w:lvl>
    <w:lvl w:ilvl="3" w:tplc="04070001" w:tentative="1">
      <w:start w:val="1"/>
      <w:numFmt w:val="bullet"/>
      <w:lvlText w:val=""/>
      <w:lvlJc w:val="left"/>
      <w:pPr>
        <w:ind w:left="2471" w:hanging="360"/>
      </w:pPr>
      <w:rPr>
        <w:rFonts w:ascii="Symbol" w:hAnsi="Symbol" w:hint="default"/>
      </w:rPr>
    </w:lvl>
    <w:lvl w:ilvl="4" w:tplc="04070003" w:tentative="1">
      <w:start w:val="1"/>
      <w:numFmt w:val="bullet"/>
      <w:lvlText w:val="o"/>
      <w:lvlJc w:val="left"/>
      <w:pPr>
        <w:ind w:left="3191" w:hanging="360"/>
      </w:pPr>
      <w:rPr>
        <w:rFonts w:ascii="Courier New" w:hAnsi="Courier New" w:cs="Courier New" w:hint="default"/>
      </w:rPr>
    </w:lvl>
    <w:lvl w:ilvl="5" w:tplc="04070005" w:tentative="1">
      <w:start w:val="1"/>
      <w:numFmt w:val="bullet"/>
      <w:lvlText w:val=""/>
      <w:lvlJc w:val="left"/>
      <w:pPr>
        <w:ind w:left="3911" w:hanging="360"/>
      </w:pPr>
      <w:rPr>
        <w:rFonts w:ascii="Wingdings" w:hAnsi="Wingdings" w:hint="default"/>
      </w:rPr>
    </w:lvl>
    <w:lvl w:ilvl="6" w:tplc="04070001" w:tentative="1">
      <w:start w:val="1"/>
      <w:numFmt w:val="bullet"/>
      <w:lvlText w:val=""/>
      <w:lvlJc w:val="left"/>
      <w:pPr>
        <w:ind w:left="4631" w:hanging="360"/>
      </w:pPr>
      <w:rPr>
        <w:rFonts w:ascii="Symbol" w:hAnsi="Symbol" w:hint="default"/>
      </w:rPr>
    </w:lvl>
    <w:lvl w:ilvl="7" w:tplc="04070003" w:tentative="1">
      <w:start w:val="1"/>
      <w:numFmt w:val="bullet"/>
      <w:lvlText w:val="o"/>
      <w:lvlJc w:val="left"/>
      <w:pPr>
        <w:ind w:left="5351" w:hanging="360"/>
      </w:pPr>
      <w:rPr>
        <w:rFonts w:ascii="Courier New" w:hAnsi="Courier New" w:cs="Courier New" w:hint="default"/>
      </w:rPr>
    </w:lvl>
    <w:lvl w:ilvl="8" w:tplc="04070005" w:tentative="1">
      <w:start w:val="1"/>
      <w:numFmt w:val="bullet"/>
      <w:lvlText w:val=""/>
      <w:lvlJc w:val="left"/>
      <w:pPr>
        <w:ind w:left="6071" w:hanging="360"/>
      </w:pPr>
      <w:rPr>
        <w:rFonts w:ascii="Wingdings" w:hAnsi="Wingdings" w:hint="default"/>
      </w:rPr>
    </w:lvl>
  </w:abstractNum>
  <w:abstractNum w:abstractNumId="1" w15:restartNumberingAfterBreak="0">
    <w:nsid w:val="3E8838D3"/>
    <w:multiLevelType w:val="hybridMultilevel"/>
    <w:tmpl w:val="7D62A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67792A"/>
    <w:multiLevelType w:val="hybridMultilevel"/>
    <w:tmpl w:val="19AC39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5B"/>
    <w:rsid w:val="00005FDC"/>
    <w:rsid w:val="002B0B7F"/>
    <w:rsid w:val="002B78F1"/>
    <w:rsid w:val="002D0864"/>
    <w:rsid w:val="00397906"/>
    <w:rsid w:val="003E744B"/>
    <w:rsid w:val="004E1ACA"/>
    <w:rsid w:val="00506226"/>
    <w:rsid w:val="007430F4"/>
    <w:rsid w:val="0075522C"/>
    <w:rsid w:val="00764DC6"/>
    <w:rsid w:val="00895801"/>
    <w:rsid w:val="0094292D"/>
    <w:rsid w:val="00A4115B"/>
    <w:rsid w:val="00AA1362"/>
    <w:rsid w:val="00B07D18"/>
    <w:rsid w:val="00B51FB9"/>
    <w:rsid w:val="00C5766A"/>
    <w:rsid w:val="00D07189"/>
    <w:rsid w:val="00D219CA"/>
    <w:rsid w:val="00D31846"/>
    <w:rsid w:val="00D377CC"/>
    <w:rsid w:val="00DA7A93"/>
    <w:rsid w:val="00E50D73"/>
    <w:rsid w:val="00E73BF2"/>
    <w:rsid w:val="00EC565B"/>
    <w:rsid w:val="00F012C7"/>
    <w:rsid w:val="00F23D26"/>
    <w:rsid w:val="00FA2228"/>
    <w:rsid w:val="00FF3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37D25"/>
  <w15:docId w15:val="{A8DDB65E-4978-493D-884F-D4827A36E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rsid w:val="00A4115B"/>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val="de-DE"/>
    </w:rPr>
  </w:style>
  <w:style w:type="paragraph" w:styleId="berschrift2">
    <w:name w:val="heading 2"/>
    <w:basedOn w:val="Standard"/>
    <w:next w:val="Standard"/>
    <w:link w:val="berschrift2Zchn"/>
    <w:uiPriority w:val="9"/>
    <w:unhideWhenUsed/>
    <w:qFormat/>
    <w:rsid w:val="00A4115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ind w:left="720"/>
      <w:outlineLvl w:val="1"/>
    </w:pPr>
    <w:rPr>
      <w:rFonts w:ascii="Calibri Light" w:eastAsia="Times New Roman" w:hAnsi="Calibri Light" w:cs="Times New Roman"/>
      <w:color w:val="2E74B5"/>
      <w:sz w:val="26"/>
      <w:szCs w:val="2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uiPriority w:val="34"/>
    <w:qFormat/>
    <w:rsid w:val="00A4115B"/>
    <w:pPr>
      <w:pBdr>
        <w:top w:val="nil"/>
        <w:left w:val="nil"/>
        <w:bottom w:val="nil"/>
        <w:right w:val="nil"/>
        <w:between w:val="nil"/>
        <w:bar w:val="nil"/>
      </w:pBdr>
      <w:spacing w:after="160" w:line="259" w:lineRule="auto"/>
      <w:ind w:left="720"/>
    </w:pPr>
    <w:rPr>
      <w:rFonts w:ascii="Calibri" w:eastAsia="Calibri" w:hAnsi="Calibri" w:cs="Calibri"/>
      <w:color w:val="000000"/>
      <w:sz w:val="22"/>
      <w:szCs w:val="22"/>
      <w:u w:color="000000"/>
      <w:bdr w:val="nil"/>
      <w:lang w:val="de-DE" w:eastAsia="de-DE"/>
    </w:rPr>
  </w:style>
  <w:style w:type="character" w:customStyle="1" w:styleId="berschrift2Zchn">
    <w:name w:val="Überschrift 2 Zchn"/>
    <w:basedOn w:val="Absatz-Standardschriftart"/>
    <w:link w:val="berschrift2"/>
    <w:uiPriority w:val="9"/>
    <w:rsid w:val="00A4115B"/>
    <w:rPr>
      <w:rFonts w:ascii="Calibri Light" w:eastAsia="Times New Roman" w:hAnsi="Calibri Light"/>
      <w:color w:val="2E74B5"/>
      <w:sz w:val="26"/>
      <w:szCs w:val="26"/>
      <w:lang w:val="de-DE"/>
    </w:rPr>
  </w:style>
  <w:style w:type="paragraph" w:styleId="Funotentext">
    <w:name w:val="footnote text"/>
    <w:basedOn w:val="Standard"/>
    <w:link w:val="FunotentextZchn"/>
    <w:uiPriority w:val="99"/>
    <w:semiHidden/>
    <w:unhideWhenUsed/>
    <w:rsid w:val="00A4115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4115B"/>
    <w:rPr>
      <w:rFonts w:ascii="Calibri" w:eastAsia="Calibri" w:hAnsi="Calibri" w:cs="Calibri"/>
      <w:color w:val="000000"/>
      <w:u w:color="000000"/>
      <w:bdr w:val="nil"/>
      <w:lang w:val="de-DE"/>
    </w:rPr>
  </w:style>
  <w:style w:type="character" w:styleId="Funotenzeichen">
    <w:name w:val="footnote reference"/>
    <w:basedOn w:val="Absatz-Standardschriftart"/>
    <w:uiPriority w:val="99"/>
    <w:semiHidden/>
    <w:unhideWhenUsed/>
    <w:rsid w:val="00A4115B"/>
    <w:rPr>
      <w:vertAlign w:val="superscript"/>
    </w:rPr>
  </w:style>
  <w:style w:type="table" w:styleId="Tabellenraster">
    <w:name w:val="Table Grid"/>
    <w:basedOn w:val="NormaleTabelle"/>
    <w:uiPriority w:val="39"/>
    <w:rsid w:val="00FA22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Liste-Akzent11">
    <w:name w:val="Farbige Liste - Akzent 11"/>
    <w:basedOn w:val="Standard"/>
    <w:uiPriority w:val="34"/>
    <w:qFormat/>
    <w:rsid w:val="00E73BF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cs="Times New Roman"/>
      <w:color w:val="auto"/>
      <w:bdr w:val="none" w:sz="0" w:space="0" w:color="auto"/>
    </w:rPr>
  </w:style>
  <w:style w:type="table" w:customStyle="1" w:styleId="Tabellenraster1">
    <w:name w:val="Tabellenraster1"/>
    <w:basedOn w:val="NormaleTabelle"/>
    <w:next w:val="Tabellenraster"/>
    <w:uiPriority w:val="39"/>
    <w:rsid w:val="004E1ACA"/>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71731">
      <w:bodyDiv w:val="1"/>
      <w:marLeft w:val="0"/>
      <w:marRight w:val="0"/>
      <w:marTop w:val="0"/>
      <w:marBottom w:val="0"/>
      <w:divBdr>
        <w:top w:val="none" w:sz="0" w:space="0" w:color="auto"/>
        <w:left w:val="none" w:sz="0" w:space="0" w:color="auto"/>
        <w:bottom w:val="none" w:sz="0" w:space="0" w:color="auto"/>
        <w:right w:val="none" w:sz="0" w:space="0" w:color="auto"/>
      </w:divBdr>
    </w:div>
    <w:div w:id="1474786581">
      <w:bodyDiv w:val="1"/>
      <w:marLeft w:val="0"/>
      <w:marRight w:val="0"/>
      <w:marTop w:val="0"/>
      <w:marBottom w:val="0"/>
      <w:divBdr>
        <w:top w:val="none" w:sz="0" w:space="0" w:color="auto"/>
        <w:left w:val="none" w:sz="0" w:space="0" w:color="auto"/>
        <w:bottom w:val="none" w:sz="0" w:space="0" w:color="auto"/>
        <w:right w:val="none" w:sz="0" w:space="0" w:color="auto"/>
      </w:divBdr>
    </w:div>
    <w:div w:id="1510606977">
      <w:bodyDiv w:val="1"/>
      <w:marLeft w:val="0"/>
      <w:marRight w:val="0"/>
      <w:marTop w:val="0"/>
      <w:marBottom w:val="0"/>
      <w:divBdr>
        <w:top w:val="none" w:sz="0" w:space="0" w:color="auto"/>
        <w:left w:val="none" w:sz="0" w:space="0" w:color="auto"/>
        <w:bottom w:val="none" w:sz="0" w:space="0" w:color="auto"/>
        <w:right w:val="none" w:sz="0" w:space="0" w:color="auto"/>
      </w:divBdr>
    </w:div>
    <w:div w:id="1590313536">
      <w:bodyDiv w:val="1"/>
      <w:marLeft w:val="0"/>
      <w:marRight w:val="0"/>
      <w:marTop w:val="0"/>
      <w:marBottom w:val="0"/>
      <w:divBdr>
        <w:top w:val="none" w:sz="0" w:space="0" w:color="auto"/>
        <w:left w:val="none" w:sz="0" w:space="0" w:color="auto"/>
        <w:bottom w:val="none" w:sz="0" w:space="0" w:color="auto"/>
        <w:right w:val="none" w:sz="0" w:space="0" w:color="auto"/>
      </w:divBdr>
    </w:div>
    <w:div w:id="190063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4F90D-7629-4167-90F0-C746B859C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2420</Words>
  <Characters>15252</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Peters</dc:creator>
  <cp:lastModifiedBy>Stefan Nitsche</cp:lastModifiedBy>
  <cp:revision>2</cp:revision>
  <dcterms:created xsi:type="dcterms:W3CDTF">2016-10-02T15:52:00Z</dcterms:created>
  <dcterms:modified xsi:type="dcterms:W3CDTF">2016-10-02T15:52:00Z</dcterms:modified>
</cp:coreProperties>
</file>