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A311CB" w14:textId="77777777" w:rsidR="008B4241" w:rsidRDefault="008B4241" w:rsidP="008B4241">
      <w:pPr>
        <w:spacing w:after="120"/>
        <w:rPr>
          <w:b/>
        </w:rPr>
      </w:pPr>
    </w:p>
    <w:p w14:paraId="3FEE73C9" w14:textId="77777777" w:rsidR="00122B40" w:rsidRDefault="00122B40" w:rsidP="00122B40">
      <w:pPr>
        <w:spacing w:after="120"/>
        <w:jc w:val="center"/>
        <w:rPr>
          <w:b/>
        </w:rPr>
      </w:pPr>
      <w:proofErr w:type="spellStart"/>
      <w:r>
        <w:rPr>
          <w:b/>
        </w:rPr>
        <w:t>Maßnahmeaufruf</w:t>
      </w:r>
      <w:proofErr w:type="spellEnd"/>
      <w:r>
        <w:rPr>
          <w:b/>
        </w:rPr>
        <w:t xml:space="preserve"> </w:t>
      </w:r>
    </w:p>
    <w:p w14:paraId="39DCB418" w14:textId="77777777" w:rsidR="00122B40" w:rsidRDefault="00122B40" w:rsidP="00122B40">
      <w:pPr>
        <w:spacing w:after="120"/>
        <w:jc w:val="center"/>
        <w:rPr>
          <w:b/>
        </w:rPr>
      </w:pPr>
      <w:r>
        <w:rPr>
          <w:b/>
        </w:rPr>
        <w:t>für besonders von Zuwanderung aus Südosteuropa</w:t>
      </w:r>
    </w:p>
    <w:p w14:paraId="62F5E0E5" w14:textId="77777777" w:rsidR="00122B40" w:rsidRDefault="00122B40" w:rsidP="00122B40">
      <w:pPr>
        <w:spacing w:after="120"/>
        <w:jc w:val="center"/>
        <w:rPr>
          <w:b/>
        </w:rPr>
      </w:pPr>
      <w:r>
        <w:rPr>
          <w:b/>
        </w:rPr>
        <w:t>betroffene Kommunen und Kreise</w:t>
      </w:r>
    </w:p>
    <w:p w14:paraId="0DC1ABC7" w14:textId="77777777" w:rsidR="00122B40" w:rsidRDefault="00122B40" w:rsidP="008B4241">
      <w:pPr>
        <w:spacing w:after="120"/>
        <w:rPr>
          <w:b/>
        </w:rPr>
      </w:pPr>
    </w:p>
    <w:p w14:paraId="59E7AB10" w14:textId="77777777" w:rsidR="00122B40" w:rsidRDefault="00122B40" w:rsidP="008B4241">
      <w:pPr>
        <w:spacing w:after="120"/>
        <w:rPr>
          <w:b/>
        </w:rPr>
      </w:pPr>
    </w:p>
    <w:p w14:paraId="279A6060" w14:textId="77777777" w:rsidR="00122B40" w:rsidRDefault="00122B40" w:rsidP="00122B40">
      <w:pPr>
        <w:spacing w:after="120"/>
        <w:jc w:val="center"/>
        <w:rPr>
          <w:b/>
        </w:rPr>
      </w:pPr>
      <w:r>
        <w:rPr>
          <w:b/>
        </w:rPr>
        <w:t>Aufruf zu Einreichung von</w:t>
      </w:r>
    </w:p>
    <w:p w14:paraId="68701B5D" w14:textId="2DA577EC" w:rsidR="00122B40" w:rsidRPr="00122B40" w:rsidRDefault="008A79A4" w:rsidP="008A79A4">
      <w:pPr>
        <w:spacing w:after="120"/>
        <w:ind w:left="1416" w:firstLine="708"/>
        <w:rPr>
          <w:b/>
        </w:rPr>
      </w:pPr>
      <w:r>
        <w:rPr>
          <w:b/>
        </w:rPr>
        <w:t xml:space="preserve">- </w:t>
      </w:r>
      <w:r w:rsidR="00122B40">
        <w:rPr>
          <w:b/>
        </w:rPr>
        <w:t xml:space="preserve">Folgeanträgen </w:t>
      </w:r>
    </w:p>
    <w:p w14:paraId="2FD6AC7B" w14:textId="77777777" w:rsidR="00122B40" w:rsidRPr="00122B40" w:rsidRDefault="008A79A4" w:rsidP="008A79A4">
      <w:pPr>
        <w:ind w:left="1416" w:firstLine="708"/>
        <w:rPr>
          <w:b/>
        </w:rPr>
      </w:pPr>
      <w:r>
        <w:rPr>
          <w:b/>
        </w:rPr>
        <w:t xml:space="preserve">- </w:t>
      </w:r>
      <w:r w:rsidR="00122B40" w:rsidRPr="00122B40">
        <w:rPr>
          <w:b/>
        </w:rPr>
        <w:t>Erstanträgen bis zum 13. Januar 2020</w:t>
      </w:r>
    </w:p>
    <w:p w14:paraId="59A3C186" w14:textId="77777777" w:rsidR="00122B40" w:rsidRDefault="00122B40" w:rsidP="008B4241">
      <w:pPr>
        <w:spacing w:after="120"/>
        <w:rPr>
          <w:b/>
        </w:rPr>
      </w:pPr>
    </w:p>
    <w:p w14:paraId="7A441F85" w14:textId="77777777" w:rsidR="00122B40" w:rsidRDefault="00122B40" w:rsidP="008B4241">
      <w:pPr>
        <w:spacing w:after="120"/>
        <w:rPr>
          <w:b/>
        </w:rPr>
      </w:pPr>
    </w:p>
    <w:p w14:paraId="227A3C76" w14:textId="10D4DDEC" w:rsidR="008B4241" w:rsidRDefault="008B4241" w:rsidP="008B4241">
      <w:pPr>
        <w:spacing w:after="120"/>
      </w:pPr>
      <w:r>
        <w:t xml:space="preserve">Verstärkte Zuwanderung von Menschen aus Südosteuropa stellt Kommunen in Nordrhein-Westfalen vor besondere Herausforderungen. </w:t>
      </w:r>
      <w:r w:rsidR="004930AF">
        <w:t>Handlungsfelder</w:t>
      </w:r>
      <w:r>
        <w:t xml:space="preserve"> eröffnen sich z.B. in den Bereichen Armut, Wohnsituation, Bildung/Ausbildung, Segregation, Kriminalität und Gesundheitsversorgung. </w:t>
      </w:r>
    </w:p>
    <w:p w14:paraId="466E3A2E" w14:textId="77777777" w:rsidR="008B4241" w:rsidRDefault="008B4241" w:rsidP="008B4241">
      <w:pPr>
        <w:spacing w:after="120"/>
      </w:pPr>
      <w:r>
        <w:t xml:space="preserve">Das Förderprogramm Südosteuropa verfolgt das Ziel, die Teilhabe und Integration von Zugewanderten aus Südosteuropa in den Kommunen zu unterstützen. Es setzt das Förderprogramm fort, mit dessen Mitteln in den Jahren 2017 - 2019 zehn Kreise und kreisfreie Städte in NRW unterstützt wurden, die besonders viel Zuwanderung von Menschen aus Südosteuropa erfahren haben. </w:t>
      </w:r>
    </w:p>
    <w:p w14:paraId="0DBAE336" w14:textId="07B96197" w:rsidR="008B4241" w:rsidRDefault="008B4241" w:rsidP="008B4241">
      <w:pPr>
        <w:spacing w:after="120"/>
      </w:pPr>
      <w:r>
        <w:t xml:space="preserve">Das neue Programm baut auf den Erkenntnissen </w:t>
      </w:r>
      <w:r w:rsidR="004930AF">
        <w:t>dieser bisherigen Förderung auf und entwickelt Ansätze weiter.</w:t>
      </w:r>
      <w:r>
        <w:t xml:space="preserve"> Es berücksichtigt die Best-Practice-Beispiele der Kommunen und setzt ihre Arbeit für drei weitere Jahre, von 2020 – 2022, fort. </w:t>
      </w:r>
    </w:p>
    <w:p w14:paraId="55AB42B1" w14:textId="77777777" w:rsidR="008B4241" w:rsidRDefault="008B4241" w:rsidP="008B4241">
      <w:pPr>
        <w:spacing w:after="120"/>
      </w:pPr>
    </w:p>
    <w:p w14:paraId="262A635C" w14:textId="77777777" w:rsidR="008B4241" w:rsidRDefault="008B4241" w:rsidP="008B4241">
      <w:pPr>
        <w:spacing w:after="120"/>
        <w:rPr>
          <w:b/>
        </w:rPr>
      </w:pPr>
      <w:r>
        <w:rPr>
          <w:b/>
        </w:rPr>
        <w:t>Antragssteller/Zuwendungsempfangende</w:t>
      </w:r>
    </w:p>
    <w:p w14:paraId="433278D8" w14:textId="77777777" w:rsidR="008B4241" w:rsidRDefault="008B4241" w:rsidP="00FF5EC5">
      <w:pPr>
        <w:spacing w:after="120"/>
        <w:jc w:val="both"/>
      </w:pPr>
      <w:r>
        <w:t xml:space="preserve">Die Ermittlung der berechtigten Antragssteller erfolgt wie in der vorangegangenen Förderung in Anlehnung an den gemäß § 4 der Verordnung zur Regelung des Wohnsitzes für anerkannte Flüchtlinge und Inhaberinnen und Inhaber bestimmter humanitärer Aufenthaltstitel nach dem Aufenthaltsgesetz (Ausländer-Wohnsitzverordnung – </w:t>
      </w:r>
      <w:proofErr w:type="spellStart"/>
      <w:r>
        <w:t>AWoV</w:t>
      </w:r>
      <w:proofErr w:type="spellEnd"/>
      <w:r>
        <w:t xml:space="preserve"> (GV.NRW 2016 S. 965 ff.) gebildeten Integrationsschlüssel. </w:t>
      </w:r>
    </w:p>
    <w:p w14:paraId="0252C7B2" w14:textId="77777777" w:rsidR="008B4241" w:rsidRDefault="008B4241" w:rsidP="00FF5EC5">
      <w:pPr>
        <w:spacing w:after="120"/>
        <w:jc w:val="both"/>
      </w:pPr>
      <w:r>
        <w:t xml:space="preserve">Demnach werden Kommunen berücksichtigt, </w:t>
      </w:r>
      <w:r w:rsidRPr="00933E2E">
        <w:t>die nach §</w:t>
      </w:r>
      <w:r>
        <w:t xml:space="preserve"> </w:t>
      </w:r>
      <w:r w:rsidRPr="00933E2E">
        <w:t xml:space="preserve">4 Abs. 4 </w:t>
      </w:r>
      <w:proofErr w:type="spellStart"/>
      <w:r w:rsidRPr="00933E2E">
        <w:t>AWoV</w:t>
      </w:r>
      <w:proofErr w:type="spellEnd"/>
      <w:r w:rsidRPr="00933E2E">
        <w:t xml:space="preserve"> </w:t>
      </w:r>
      <w:r>
        <w:t xml:space="preserve">einen </w:t>
      </w:r>
      <w:r w:rsidRPr="00933E2E">
        <w:t>mindestens 50 Prozent über dem Landesdurchschnitt liegenden Anteil von Personen aus den sogenannten EU-11-Mitgliedsstaaten aufweisen</w:t>
      </w:r>
      <w:r>
        <w:t xml:space="preserve">, </w:t>
      </w:r>
      <w:r w:rsidRPr="00933E2E">
        <w:t>die Leistungen nach dem Zweiten Buch Sozialgesetzbuch – Grundsicherung für Arbeitssuchende – in der Fassung der Bekanntmachung vom 13. Mai 2011 (BGBI.I S. 850, 2094), das durch Artikel 2 des Gesetzes vom 31. Juli 2016 (BGBI I S. 1939,1940) geändert worden ist, erhalten.</w:t>
      </w:r>
    </w:p>
    <w:p w14:paraId="3CC3A73E" w14:textId="77777777" w:rsidR="00E471CE" w:rsidRDefault="00E471CE" w:rsidP="00FF5EC5">
      <w:pPr>
        <w:spacing w:after="120"/>
        <w:jc w:val="both"/>
      </w:pPr>
      <w:r>
        <w:t>Dies betrifft die Kommunen Duisburg, Dortmund, Gelsenkirchen, Essen, Hagen, Mönchengladbach, Krefeld, Hamm, Herne, Bergheim, Kerpen, Wesseling (</w:t>
      </w:r>
      <w:r w:rsidRPr="00E471CE">
        <w:rPr>
          <w:i/>
        </w:rPr>
        <w:t>Rhein-Erft-Kreis</w:t>
      </w:r>
      <w:r>
        <w:t>), Gladbeck, Oer-Erkenschwick</w:t>
      </w:r>
      <w:r w:rsidR="00AD1315">
        <w:t xml:space="preserve"> (</w:t>
      </w:r>
      <w:r w:rsidR="00AD1315" w:rsidRPr="00AD1315">
        <w:rPr>
          <w:i/>
        </w:rPr>
        <w:t>Kreis Recklinghausen</w:t>
      </w:r>
      <w:r w:rsidR="00AD1315">
        <w:t>)</w:t>
      </w:r>
      <w:r>
        <w:t>, Velbert</w:t>
      </w:r>
      <w:r w:rsidR="00AD1315">
        <w:t xml:space="preserve"> (</w:t>
      </w:r>
      <w:r w:rsidR="00AD1315" w:rsidRPr="00AD1315">
        <w:rPr>
          <w:i/>
        </w:rPr>
        <w:t>Kreis Mettmann</w:t>
      </w:r>
      <w:r w:rsidR="00AD1315">
        <w:t>)</w:t>
      </w:r>
      <w:r>
        <w:t>, Düren</w:t>
      </w:r>
      <w:r w:rsidR="00AD1315">
        <w:t xml:space="preserve"> (</w:t>
      </w:r>
      <w:r w:rsidR="00AD1315" w:rsidRPr="00AD1315">
        <w:rPr>
          <w:i/>
        </w:rPr>
        <w:t>Kreis Düren</w:t>
      </w:r>
      <w:r w:rsidR="00AD1315">
        <w:t>)</w:t>
      </w:r>
      <w:r>
        <w:t xml:space="preserve"> Ahlen</w:t>
      </w:r>
      <w:r w:rsidR="00AD1315">
        <w:t xml:space="preserve"> (</w:t>
      </w:r>
      <w:r w:rsidR="00AD1315" w:rsidRPr="00AD1315">
        <w:rPr>
          <w:i/>
        </w:rPr>
        <w:t>Kreis Warendorf</w:t>
      </w:r>
      <w:r w:rsidR="00AD1315">
        <w:t>)</w:t>
      </w:r>
      <w:r>
        <w:t>, Augustdorf, Horn-Bad Meinberg</w:t>
      </w:r>
      <w:r w:rsidR="00AD1315">
        <w:t xml:space="preserve"> </w:t>
      </w:r>
      <w:r w:rsidR="00AD1315">
        <w:lastRenderedPageBreak/>
        <w:t>(</w:t>
      </w:r>
      <w:r w:rsidR="00AD1315" w:rsidRPr="00AD1315">
        <w:rPr>
          <w:i/>
        </w:rPr>
        <w:t>Kreis Lippe</w:t>
      </w:r>
      <w:r w:rsidR="00AD1315">
        <w:t>)</w:t>
      </w:r>
      <w:r>
        <w:t>, Gevelsberg</w:t>
      </w:r>
      <w:r w:rsidR="00AD1315">
        <w:t xml:space="preserve"> (</w:t>
      </w:r>
      <w:r w:rsidR="00AD1315" w:rsidRPr="00AD1315">
        <w:rPr>
          <w:i/>
        </w:rPr>
        <w:t>Ennepe-Ruhr-Kreis</w:t>
      </w:r>
      <w:r w:rsidR="00AD1315">
        <w:t>)</w:t>
      </w:r>
      <w:r>
        <w:t xml:space="preserve">, Werdohl </w:t>
      </w:r>
      <w:r w:rsidR="00AD1315">
        <w:t>(</w:t>
      </w:r>
      <w:r w:rsidR="00AD1315" w:rsidRPr="00AD1315">
        <w:rPr>
          <w:i/>
        </w:rPr>
        <w:t>Märkischer Kreis</w:t>
      </w:r>
      <w:r w:rsidR="00AD1315">
        <w:t xml:space="preserve">) </w:t>
      </w:r>
      <w:r>
        <w:t>und Kreuztal</w:t>
      </w:r>
      <w:r w:rsidR="00AD1315">
        <w:t xml:space="preserve"> (</w:t>
      </w:r>
      <w:r w:rsidR="00AD1315" w:rsidRPr="00AD1315">
        <w:rPr>
          <w:i/>
        </w:rPr>
        <w:t>Kreis Siegen-Wittgenstein</w:t>
      </w:r>
      <w:r w:rsidR="00AD1315">
        <w:t>)</w:t>
      </w:r>
      <w:r>
        <w:t xml:space="preserve">. </w:t>
      </w:r>
    </w:p>
    <w:p w14:paraId="38F3DC7A" w14:textId="77777777" w:rsidR="008B4241" w:rsidRDefault="008B4241" w:rsidP="00FF5EC5">
      <w:pPr>
        <w:spacing w:after="120"/>
      </w:pPr>
      <w:r>
        <w:t xml:space="preserve">Zuwendungsempfangende sind </w:t>
      </w:r>
      <w:r w:rsidR="00FF5EC5">
        <w:t>betroffene</w:t>
      </w:r>
      <w:r>
        <w:t xml:space="preserve"> Kreise und kreisfreie Städte, in denen ein Kommunales Integrationszentrum (KI) eingerichtet ist (KI-Kommunen). Die Mittel werden den KI-Kommunen auf Antrag unter den (Bewilligungs-)Voraussetzungen des §</w:t>
      </w:r>
      <w:r w:rsidR="009E034D">
        <w:t xml:space="preserve"> </w:t>
      </w:r>
      <w:r>
        <w:t xml:space="preserve">44 Landeshaushaltsordnung – LHO – in Verbindung mit den Verwaltungsvorschriften Gemeinden (VVG) als Zuweisung zur Verfügung gestellt. </w:t>
      </w:r>
    </w:p>
    <w:p w14:paraId="7E5E14D3" w14:textId="77777777" w:rsidR="00AD1315" w:rsidRDefault="00AD1315" w:rsidP="00FF5EC5">
      <w:pPr>
        <w:spacing w:after="120"/>
      </w:pPr>
    </w:p>
    <w:p w14:paraId="7A51E10E" w14:textId="28A983E3" w:rsidR="008B4241" w:rsidRDefault="008B4241" w:rsidP="00FF5EC5">
      <w:pPr>
        <w:spacing w:after="120"/>
      </w:pPr>
      <w:r>
        <w:t xml:space="preserve">Die Zuwendung erfolgt in Form einer Festbetragsfinanzierung als </w:t>
      </w:r>
      <w:r w:rsidR="009E034D">
        <w:t xml:space="preserve">Zuweisung </w:t>
      </w:r>
      <w:r>
        <w:t xml:space="preserve">zu den anfallenden örtlichen Personal- und Sachausgaben. Ein Eigenanteil (2.4 VVG) muss nicht geleistet werden. </w:t>
      </w:r>
    </w:p>
    <w:p w14:paraId="3233C069" w14:textId="77777777" w:rsidR="008B4241" w:rsidRDefault="008B4241" w:rsidP="008B4241">
      <w:pPr>
        <w:spacing w:after="120"/>
      </w:pPr>
      <w:r>
        <w:t xml:space="preserve">Die Kreise können Mittel nach Nr. 12 VGG an die </w:t>
      </w:r>
      <w:r w:rsidR="00FF5EC5">
        <w:t>betroffenen</w:t>
      </w:r>
      <w:r>
        <w:t xml:space="preserve"> kreisange</w:t>
      </w:r>
      <w:r w:rsidR="00FF5EC5">
        <w:t xml:space="preserve">hörigen Gemeinden weiterleiten. </w:t>
      </w:r>
      <w:r>
        <w:t>Hierzu sollten sich die Zuwendungsempfangenden bereits vor der Antragsstellung mit den kreisangehörigen Gemeinden abstimmen und eine gemeinsame Konzeption vorlegen.</w:t>
      </w:r>
    </w:p>
    <w:p w14:paraId="06694C66" w14:textId="77777777" w:rsidR="008B4241" w:rsidRDefault="008B4241" w:rsidP="008B4241">
      <w:pPr>
        <w:spacing w:after="120"/>
      </w:pPr>
    </w:p>
    <w:p w14:paraId="10A486C7" w14:textId="77777777" w:rsidR="008B4241" w:rsidRPr="008B4241" w:rsidRDefault="008B4241" w:rsidP="008B4241">
      <w:pPr>
        <w:spacing w:after="120"/>
        <w:rPr>
          <w:b/>
        </w:rPr>
      </w:pPr>
      <w:r w:rsidRPr="008B4241">
        <w:rPr>
          <w:b/>
        </w:rPr>
        <w:t>Zielsetzung</w:t>
      </w:r>
    </w:p>
    <w:p w14:paraId="12D329BB" w14:textId="77777777" w:rsidR="008B4241" w:rsidRDefault="008B4241" w:rsidP="008B4241">
      <w:pPr>
        <w:spacing w:after="120"/>
      </w:pPr>
      <w:r>
        <w:t>Mögliche Ziele der neuen Förderperiode sind:</w:t>
      </w:r>
    </w:p>
    <w:p w14:paraId="49F4AF91" w14:textId="77777777" w:rsidR="008B4241" w:rsidRDefault="008B4241" w:rsidP="008B4241">
      <w:pPr>
        <w:pStyle w:val="Listenabsatz"/>
        <w:numPr>
          <w:ilvl w:val="0"/>
          <w:numId w:val="1"/>
        </w:numPr>
        <w:spacing w:after="120"/>
        <w:rPr>
          <w:rFonts w:ascii="Arial" w:hAnsi="Arial" w:cs="Arial"/>
        </w:rPr>
      </w:pPr>
      <w:r>
        <w:rPr>
          <w:rFonts w:ascii="Arial" w:hAnsi="Arial" w:cs="Arial"/>
        </w:rPr>
        <w:t>Verbesserung des allgemeinen Bildungsniveaus</w:t>
      </w:r>
    </w:p>
    <w:p w14:paraId="4B003633" w14:textId="77777777" w:rsidR="008B4241" w:rsidRDefault="008B4241" w:rsidP="008B4241">
      <w:pPr>
        <w:pStyle w:val="Listenabsatz"/>
        <w:numPr>
          <w:ilvl w:val="0"/>
          <w:numId w:val="1"/>
        </w:numPr>
        <w:spacing w:after="120"/>
        <w:rPr>
          <w:rFonts w:ascii="Arial" w:hAnsi="Arial" w:cs="Arial"/>
        </w:rPr>
      </w:pPr>
      <w:r>
        <w:rPr>
          <w:rFonts w:ascii="Arial" w:hAnsi="Arial" w:cs="Arial"/>
        </w:rPr>
        <w:t>Unterstützung bei der Orientierung in der Kommune, insbesondere durch Information über öffentliche und private Hilfsangebote und Ansprechpartner</w:t>
      </w:r>
    </w:p>
    <w:p w14:paraId="622C2B46" w14:textId="77777777" w:rsidR="008B4241" w:rsidRDefault="008B4241" w:rsidP="008B4241">
      <w:pPr>
        <w:pStyle w:val="Listenabsatz"/>
        <w:numPr>
          <w:ilvl w:val="0"/>
          <w:numId w:val="1"/>
        </w:numPr>
        <w:spacing w:after="120"/>
        <w:rPr>
          <w:rFonts w:ascii="Arial" w:hAnsi="Arial" w:cs="Arial"/>
        </w:rPr>
      </w:pPr>
      <w:r>
        <w:rPr>
          <w:rFonts w:ascii="Arial" w:hAnsi="Arial" w:cs="Arial"/>
        </w:rPr>
        <w:t>Verbesserung der Arbeitsmarktperspektiven</w:t>
      </w:r>
    </w:p>
    <w:p w14:paraId="53851A15" w14:textId="77777777" w:rsidR="008B4241" w:rsidRDefault="008B4241" w:rsidP="008B4241">
      <w:pPr>
        <w:pStyle w:val="Listenabsatz"/>
        <w:numPr>
          <w:ilvl w:val="0"/>
          <w:numId w:val="1"/>
        </w:numPr>
        <w:spacing w:after="120"/>
        <w:rPr>
          <w:rFonts w:ascii="Arial" w:hAnsi="Arial" w:cs="Arial"/>
        </w:rPr>
      </w:pPr>
      <w:r>
        <w:rPr>
          <w:rFonts w:ascii="Arial" w:hAnsi="Arial" w:cs="Arial"/>
        </w:rPr>
        <w:t>Heranführung der Zielgruppe an bestehende Angebote</w:t>
      </w:r>
    </w:p>
    <w:p w14:paraId="344688EC" w14:textId="77777777" w:rsidR="008B4241" w:rsidRDefault="008B4241" w:rsidP="008B4241">
      <w:pPr>
        <w:pStyle w:val="Listenabsatz"/>
        <w:numPr>
          <w:ilvl w:val="0"/>
          <w:numId w:val="1"/>
        </w:numPr>
        <w:spacing w:after="120"/>
        <w:rPr>
          <w:rFonts w:ascii="Arial" w:hAnsi="Arial" w:cs="Arial"/>
        </w:rPr>
      </w:pPr>
      <w:r>
        <w:rPr>
          <w:rFonts w:ascii="Arial" w:hAnsi="Arial" w:cs="Arial"/>
        </w:rPr>
        <w:t>Förderung von Verständigungs- und Nachbarschaftsprojekten, interkulturellen Begegnungen und Festen</w:t>
      </w:r>
    </w:p>
    <w:p w14:paraId="10FF91CA" w14:textId="77777777" w:rsidR="008B4241" w:rsidRDefault="008B4241" w:rsidP="008B4241">
      <w:pPr>
        <w:pStyle w:val="Listenabsatz"/>
        <w:numPr>
          <w:ilvl w:val="0"/>
          <w:numId w:val="1"/>
        </w:numPr>
        <w:spacing w:after="120"/>
        <w:rPr>
          <w:rFonts w:ascii="Arial" w:hAnsi="Arial" w:cs="Arial"/>
        </w:rPr>
      </w:pPr>
      <w:r>
        <w:rPr>
          <w:rFonts w:ascii="Arial" w:hAnsi="Arial" w:cs="Arial"/>
        </w:rPr>
        <w:t>Konfliktmanagement und Mediation</w:t>
      </w:r>
    </w:p>
    <w:p w14:paraId="3788B3DF" w14:textId="77777777" w:rsidR="008B4241" w:rsidRDefault="008B4241" w:rsidP="008B4241">
      <w:pPr>
        <w:pStyle w:val="Listenabsatz"/>
        <w:numPr>
          <w:ilvl w:val="0"/>
          <w:numId w:val="1"/>
        </w:numPr>
        <w:spacing w:after="120"/>
        <w:rPr>
          <w:rFonts w:ascii="Arial" w:hAnsi="Arial" w:cs="Arial"/>
        </w:rPr>
      </w:pPr>
      <w:r>
        <w:rPr>
          <w:rFonts w:ascii="Arial" w:hAnsi="Arial" w:cs="Arial"/>
        </w:rPr>
        <w:t>Sensibilisierung und Abbau von Vorurteilen in der Aufnahmegesellschaft</w:t>
      </w:r>
    </w:p>
    <w:p w14:paraId="1269426A" w14:textId="77777777" w:rsidR="008B4241" w:rsidRDefault="008B4241" w:rsidP="008B4241">
      <w:pPr>
        <w:pStyle w:val="Listenabsatz"/>
        <w:numPr>
          <w:ilvl w:val="0"/>
          <w:numId w:val="1"/>
        </w:numPr>
        <w:spacing w:after="120"/>
        <w:rPr>
          <w:rFonts w:ascii="Arial" w:hAnsi="Arial" w:cs="Arial"/>
        </w:rPr>
      </w:pPr>
      <w:r>
        <w:rPr>
          <w:rFonts w:ascii="Arial" w:hAnsi="Arial" w:cs="Arial"/>
        </w:rPr>
        <w:t xml:space="preserve">Antidiskriminierungsarbeit, insbesondere Bekämpfung von </w:t>
      </w:r>
      <w:proofErr w:type="spellStart"/>
      <w:r>
        <w:rPr>
          <w:rFonts w:ascii="Arial" w:hAnsi="Arial" w:cs="Arial"/>
        </w:rPr>
        <w:t>Antiziganismus</w:t>
      </w:r>
      <w:proofErr w:type="spellEnd"/>
    </w:p>
    <w:p w14:paraId="6B258C29" w14:textId="77777777" w:rsidR="008B4241" w:rsidRDefault="008B4241" w:rsidP="008B4241">
      <w:pPr>
        <w:pStyle w:val="Listenabsatz"/>
        <w:numPr>
          <w:ilvl w:val="0"/>
          <w:numId w:val="1"/>
        </w:numPr>
        <w:spacing w:after="120"/>
        <w:rPr>
          <w:rFonts w:ascii="Arial" w:hAnsi="Arial" w:cs="Arial"/>
        </w:rPr>
      </w:pPr>
      <w:r>
        <w:rPr>
          <w:rFonts w:ascii="Arial" w:hAnsi="Arial" w:cs="Arial"/>
        </w:rPr>
        <w:t>Verbesserung der Wohnsituation</w:t>
      </w:r>
    </w:p>
    <w:p w14:paraId="1A7EEED1" w14:textId="77777777" w:rsidR="008B4241" w:rsidRDefault="008B4241" w:rsidP="008B4241">
      <w:pPr>
        <w:pStyle w:val="Listenabsatz"/>
        <w:numPr>
          <w:ilvl w:val="0"/>
          <w:numId w:val="1"/>
        </w:numPr>
        <w:spacing w:after="120"/>
        <w:rPr>
          <w:rFonts w:ascii="Arial" w:hAnsi="Arial" w:cs="Arial"/>
        </w:rPr>
      </w:pPr>
      <w:r>
        <w:rPr>
          <w:rFonts w:ascii="Arial" w:hAnsi="Arial" w:cs="Arial"/>
        </w:rPr>
        <w:t xml:space="preserve">Verbesserung der medizinischen Versorgung und Information über das Gesundheitssystem </w:t>
      </w:r>
    </w:p>
    <w:p w14:paraId="129C8D63" w14:textId="77777777" w:rsidR="008B4241" w:rsidRDefault="008B4241" w:rsidP="008B4241">
      <w:pPr>
        <w:pStyle w:val="Listenabsatz"/>
        <w:numPr>
          <w:ilvl w:val="0"/>
          <w:numId w:val="1"/>
        </w:numPr>
        <w:spacing w:after="120"/>
        <w:rPr>
          <w:rFonts w:ascii="Arial" w:hAnsi="Arial" w:cs="Arial"/>
        </w:rPr>
      </w:pPr>
      <w:r>
        <w:rPr>
          <w:rFonts w:ascii="Arial" w:hAnsi="Arial" w:cs="Arial"/>
        </w:rPr>
        <w:t>Lösungsansätze für Problemfeld ausbeuterische Strukturen</w:t>
      </w:r>
    </w:p>
    <w:p w14:paraId="1AE8D10E" w14:textId="77777777" w:rsidR="008B4241" w:rsidRDefault="008B4241" w:rsidP="008B4241">
      <w:pPr>
        <w:pStyle w:val="Listenabsatz"/>
        <w:numPr>
          <w:ilvl w:val="0"/>
          <w:numId w:val="1"/>
        </w:numPr>
        <w:spacing w:after="120"/>
        <w:rPr>
          <w:rFonts w:ascii="Arial" w:hAnsi="Arial" w:cs="Arial"/>
        </w:rPr>
      </w:pPr>
      <w:r>
        <w:rPr>
          <w:rFonts w:ascii="Arial" w:hAnsi="Arial" w:cs="Arial"/>
        </w:rPr>
        <w:t>Vermittlung von Wissen über Politik und Gesellschaft in Nordrhein-Westfalen</w:t>
      </w:r>
    </w:p>
    <w:p w14:paraId="70A8C180" w14:textId="77777777" w:rsidR="008B4241" w:rsidRDefault="008B4241" w:rsidP="008B4241">
      <w:pPr>
        <w:pStyle w:val="Listenabsatz"/>
        <w:numPr>
          <w:ilvl w:val="0"/>
          <w:numId w:val="1"/>
        </w:numPr>
        <w:spacing w:after="120"/>
        <w:rPr>
          <w:rFonts w:ascii="Arial" w:hAnsi="Arial" w:cs="Arial"/>
        </w:rPr>
      </w:pPr>
      <w:r>
        <w:rPr>
          <w:rFonts w:ascii="Arial" w:hAnsi="Arial" w:cs="Arial"/>
        </w:rPr>
        <w:t>Stärkung von Selbstorganisation und Selbsthilfepotentialen</w:t>
      </w:r>
    </w:p>
    <w:p w14:paraId="15144D47" w14:textId="77777777" w:rsidR="008B4241" w:rsidRDefault="008B4241" w:rsidP="008B4241">
      <w:pPr>
        <w:spacing w:after="120"/>
      </w:pPr>
      <w:r>
        <w:t>Besonderen Wert legt die Landesregierung auf:</w:t>
      </w:r>
    </w:p>
    <w:p w14:paraId="46E56759" w14:textId="77777777" w:rsidR="000310B3" w:rsidRDefault="000310B3" w:rsidP="000310B3">
      <w:pPr>
        <w:pStyle w:val="Listenabsatz"/>
        <w:numPr>
          <w:ilvl w:val="0"/>
          <w:numId w:val="1"/>
        </w:numPr>
        <w:spacing w:after="120"/>
        <w:rPr>
          <w:rFonts w:ascii="Arial" w:hAnsi="Arial" w:cs="Arial"/>
        </w:rPr>
      </w:pPr>
      <w:r>
        <w:rPr>
          <w:rFonts w:ascii="Arial" w:hAnsi="Arial" w:cs="Arial"/>
        </w:rPr>
        <w:t xml:space="preserve">Verbindliche Mitwirkung in dem landesweiten Netzwerk der Kommunen, die mit der Thematik befasst sind. </w:t>
      </w:r>
    </w:p>
    <w:p w14:paraId="69BA90E7" w14:textId="77777777" w:rsidR="008B4241" w:rsidRDefault="008B4241" w:rsidP="008B4241">
      <w:pPr>
        <w:pStyle w:val="Listenabsatz"/>
        <w:numPr>
          <w:ilvl w:val="0"/>
          <w:numId w:val="1"/>
        </w:numPr>
        <w:spacing w:after="120"/>
        <w:rPr>
          <w:rFonts w:ascii="Arial" w:hAnsi="Arial" w:cs="Arial"/>
        </w:rPr>
      </w:pPr>
      <w:r>
        <w:rPr>
          <w:rFonts w:ascii="Arial" w:hAnsi="Arial" w:cs="Arial"/>
        </w:rPr>
        <w:t>Einbezug von Vertretern der Zielgruppe oder Community in Planung von Angeboten und Durchführung von Maßnahmen</w:t>
      </w:r>
    </w:p>
    <w:p w14:paraId="3555EA60" w14:textId="77777777" w:rsidR="008B4241" w:rsidRDefault="008B4241" w:rsidP="008B4241">
      <w:pPr>
        <w:spacing w:after="120"/>
      </w:pPr>
    </w:p>
    <w:p w14:paraId="3C0D3367" w14:textId="77777777" w:rsidR="008B4241" w:rsidRDefault="008B4241" w:rsidP="008B4241">
      <w:pPr>
        <w:spacing w:after="120"/>
      </w:pPr>
      <w:r>
        <w:lastRenderedPageBreak/>
        <w:t>Die Antragssteller kennen die örtliche Bedarfslage aufgrund ihrer bisherigen Aktivitäten sehr genau und legen im Rahmen ihrer örtlichen Konzepte die jeweilige Schwerpunktsetzung fest (siehe Zuwendungsvoraussetzungen).</w:t>
      </w:r>
    </w:p>
    <w:p w14:paraId="6179B7AE" w14:textId="77777777" w:rsidR="008B4241" w:rsidRDefault="008B4241" w:rsidP="008B4241">
      <w:pPr>
        <w:spacing w:after="120"/>
      </w:pPr>
    </w:p>
    <w:p w14:paraId="15887012" w14:textId="77777777" w:rsidR="00AD1315" w:rsidRPr="00AD1315" w:rsidRDefault="00AD1315" w:rsidP="008B4241">
      <w:pPr>
        <w:spacing w:after="120"/>
        <w:rPr>
          <w:b/>
        </w:rPr>
      </w:pPr>
      <w:r w:rsidRPr="00AD1315">
        <w:rPr>
          <w:b/>
        </w:rPr>
        <w:t>Fördersumme</w:t>
      </w:r>
    </w:p>
    <w:p w14:paraId="2E401E8F" w14:textId="77777777" w:rsidR="00AD1315" w:rsidRDefault="00AD1315" w:rsidP="008B4241">
      <w:pPr>
        <w:spacing w:after="120"/>
      </w:pPr>
      <w:r>
        <w:t xml:space="preserve">Die Höhe der Fördersumme </w:t>
      </w:r>
      <w:r w:rsidR="008A79A4">
        <w:t xml:space="preserve">beträgt </w:t>
      </w:r>
      <w:r w:rsidR="006C7ADC">
        <w:t xml:space="preserve">5. </w:t>
      </w:r>
      <w:proofErr w:type="spellStart"/>
      <w:r w:rsidR="006C7ADC">
        <w:t>Mio</w:t>
      </w:r>
      <w:proofErr w:type="spellEnd"/>
      <w:r w:rsidR="006C7ADC">
        <w:t xml:space="preserve"> Euro pro Haushaltsjahr</w:t>
      </w:r>
      <w:r w:rsidR="008A79A4">
        <w:t>, die wie folgt von Kreisen und kreisfeien Städten beantragt werden können:</w:t>
      </w:r>
    </w:p>
    <w:p w14:paraId="6CE11A61" w14:textId="77777777" w:rsidR="006C7ADC" w:rsidRDefault="006C7ADC" w:rsidP="008B4241">
      <w:pPr>
        <w:spacing w:after="120"/>
      </w:pPr>
    </w:p>
    <w:tbl>
      <w:tblPr>
        <w:tblW w:w="9075" w:type="dxa"/>
        <w:tblCellMar>
          <w:left w:w="0" w:type="dxa"/>
          <w:right w:w="0" w:type="dxa"/>
        </w:tblCellMar>
        <w:tblLook w:val="0420" w:firstRow="1" w:lastRow="0" w:firstColumn="0" w:lastColumn="0" w:noHBand="0" w:noVBand="1"/>
      </w:tblPr>
      <w:tblGrid>
        <w:gridCol w:w="4397"/>
        <w:gridCol w:w="4678"/>
      </w:tblGrid>
      <w:tr w:rsidR="00AD1315" w:rsidRPr="00AD1315" w14:paraId="1BE880DF" w14:textId="77777777" w:rsidTr="006C7ADC">
        <w:trPr>
          <w:trHeight w:val="615"/>
        </w:trPr>
        <w:tc>
          <w:tcPr>
            <w:tcW w:w="9075" w:type="dxa"/>
            <w:gridSpan w:val="2"/>
            <w:tcBorders>
              <w:top w:val="single" w:sz="8" w:space="0" w:color="FFFFFF"/>
              <w:left w:val="single" w:sz="8" w:space="0" w:color="FFFFFF"/>
              <w:bottom w:val="single" w:sz="8" w:space="0" w:color="FFFFFF"/>
              <w:right w:val="single" w:sz="8" w:space="0" w:color="FFFFFF"/>
            </w:tcBorders>
            <w:shd w:val="clear" w:color="auto" w:fill="ACACAC"/>
            <w:tcMar>
              <w:top w:w="72" w:type="dxa"/>
              <w:left w:w="144" w:type="dxa"/>
              <w:bottom w:w="72" w:type="dxa"/>
              <w:right w:w="144" w:type="dxa"/>
            </w:tcMar>
            <w:hideMark/>
          </w:tcPr>
          <w:p w14:paraId="12BDF18E" w14:textId="25E43B60" w:rsidR="00AD1315" w:rsidRPr="006C7ADC" w:rsidRDefault="00AD1315" w:rsidP="00A50BF9">
            <w:pPr>
              <w:spacing w:after="120"/>
            </w:pPr>
            <w:r w:rsidRPr="006C7ADC">
              <w:rPr>
                <w:bCs/>
              </w:rPr>
              <w:t>Staffelung nach Kreisen und kreisfreien Städten</w:t>
            </w:r>
          </w:p>
        </w:tc>
      </w:tr>
      <w:tr w:rsidR="00AD1315" w:rsidRPr="00AD1315" w14:paraId="05991057" w14:textId="77777777" w:rsidTr="006C7ADC">
        <w:trPr>
          <w:trHeight w:val="825"/>
        </w:trPr>
        <w:tc>
          <w:tcPr>
            <w:tcW w:w="4397" w:type="dxa"/>
            <w:tcBorders>
              <w:top w:val="single" w:sz="8" w:space="0" w:color="FFFFFF"/>
              <w:left w:val="single" w:sz="8" w:space="0" w:color="FFFFFF"/>
              <w:bottom w:val="single" w:sz="8" w:space="0" w:color="FFFFFF"/>
              <w:right w:val="single" w:sz="8" w:space="0" w:color="FFFFFF"/>
            </w:tcBorders>
            <w:shd w:val="clear" w:color="auto" w:fill="E3E3E3"/>
            <w:tcMar>
              <w:top w:w="72" w:type="dxa"/>
              <w:left w:w="144" w:type="dxa"/>
              <w:bottom w:w="72" w:type="dxa"/>
              <w:right w:w="144" w:type="dxa"/>
            </w:tcMar>
            <w:hideMark/>
          </w:tcPr>
          <w:p w14:paraId="41A4ABE6" w14:textId="77777777" w:rsidR="00AD1315" w:rsidRPr="00AD1315" w:rsidRDefault="00AD1315" w:rsidP="00AD1315">
            <w:pPr>
              <w:spacing w:after="120"/>
            </w:pPr>
            <w:r w:rsidRPr="00AD1315">
              <w:t>Kreisfreie Städte</w:t>
            </w:r>
          </w:p>
        </w:tc>
        <w:tc>
          <w:tcPr>
            <w:tcW w:w="4678" w:type="dxa"/>
            <w:tcBorders>
              <w:top w:val="single" w:sz="8" w:space="0" w:color="FFFFFF"/>
              <w:left w:val="single" w:sz="8" w:space="0" w:color="FFFFFF"/>
              <w:bottom w:val="single" w:sz="8" w:space="0" w:color="FFFFFF"/>
              <w:right w:val="single" w:sz="8" w:space="0" w:color="FFFFFF"/>
            </w:tcBorders>
            <w:shd w:val="clear" w:color="auto" w:fill="E3E3E3"/>
            <w:tcMar>
              <w:top w:w="72" w:type="dxa"/>
              <w:left w:w="144" w:type="dxa"/>
              <w:bottom w:w="72" w:type="dxa"/>
              <w:right w:w="144" w:type="dxa"/>
            </w:tcMar>
            <w:hideMark/>
          </w:tcPr>
          <w:p w14:paraId="65637BEE" w14:textId="77777777" w:rsidR="000D29AF" w:rsidRPr="00AD1315" w:rsidRDefault="000310B3" w:rsidP="00AD1315">
            <w:pPr>
              <w:numPr>
                <w:ilvl w:val="0"/>
                <w:numId w:val="4"/>
              </w:numPr>
              <w:spacing w:after="120"/>
            </w:pPr>
            <w:r w:rsidRPr="00AD1315">
              <w:t>bis zu 350.000 Euro pro Jahr</w:t>
            </w:r>
          </w:p>
          <w:p w14:paraId="34965073" w14:textId="77777777" w:rsidR="000D29AF" w:rsidRPr="00AD1315" w:rsidRDefault="000310B3" w:rsidP="00AD1315">
            <w:pPr>
              <w:numPr>
                <w:ilvl w:val="0"/>
                <w:numId w:val="4"/>
              </w:numPr>
              <w:spacing w:after="120"/>
            </w:pPr>
            <w:r w:rsidRPr="00AD1315">
              <w:t>Vollfinanzierung</w:t>
            </w:r>
          </w:p>
        </w:tc>
      </w:tr>
      <w:tr w:rsidR="00AD1315" w:rsidRPr="00AD1315" w14:paraId="48CFA9E5" w14:textId="77777777" w:rsidTr="006C7ADC">
        <w:trPr>
          <w:trHeight w:val="683"/>
        </w:trPr>
        <w:tc>
          <w:tcPr>
            <w:tcW w:w="4397" w:type="dxa"/>
            <w:tcBorders>
              <w:top w:val="single" w:sz="8" w:space="0" w:color="FFFFFF"/>
              <w:left w:val="single" w:sz="8" w:space="0" w:color="FFFFFF"/>
              <w:bottom w:val="single" w:sz="8" w:space="0" w:color="FFFFFF"/>
              <w:right w:val="single" w:sz="8" w:space="0" w:color="FFFFFF"/>
            </w:tcBorders>
            <w:shd w:val="clear" w:color="auto" w:fill="F1F1F1"/>
            <w:tcMar>
              <w:top w:w="72" w:type="dxa"/>
              <w:left w:w="144" w:type="dxa"/>
              <w:bottom w:w="72" w:type="dxa"/>
              <w:right w:w="144" w:type="dxa"/>
            </w:tcMar>
            <w:hideMark/>
          </w:tcPr>
          <w:p w14:paraId="5C1494CC" w14:textId="3FC696BC" w:rsidR="00AD1315" w:rsidRPr="00AD1315" w:rsidRDefault="00AD1315" w:rsidP="00AD1315">
            <w:pPr>
              <w:spacing w:after="120"/>
            </w:pPr>
            <w:r w:rsidRPr="00AD1315">
              <w:t xml:space="preserve">Kreise mit </w:t>
            </w:r>
            <w:r w:rsidRPr="00AD1315">
              <w:rPr>
                <w:u w:val="single"/>
              </w:rPr>
              <w:t>einer</w:t>
            </w:r>
            <w:r w:rsidRPr="00AD1315">
              <w:t xml:space="preserve"> Kommune über 50%</w:t>
            </w:r>
            <w:r w:rsidR="00A50BF9">
              <w:t>*</w:t>
            </w:r>
          </w:p>
        </w:tc>
        <w:tc>
          <w:tcPr>
            <w:tcW w:w="4678" w:type="dxa"/>
            <w:tcBorders>
              <w:top w:val="single" w:sz="8" w:space="0" w:color="FFFFFF"/>
              <w:left w:val="single" w:sz="8" w:space="0" w:color="FFFFFF"/>
              <w:bottom w:val="single" w:sz="8" w:space="0" w:color="FFFFFF"/>
              <w:right w:val="single" w:sz="8" w:space="0" w:color="FFFFFF"/>
            </w:tcBorders>
            <w:shd w:val="clear" w:color="auto" w:fill="F1F1F1"/>
            <w:tcMar>
              <w:top w:w="72" w:type="dxa"/>
              <w:left w:w="144" w:type="dxa"/>
              <w:bottom w:w="72" w:type="dxa"/>
              <w:right w:w="144" w:type="dxa"/>
            </w:tcMar>
            <w:hideMark/>
          </w:tcPr>
          <w:p w14:paraId="1C9D42FC" w14:textId="033C4B58" w:rsidR="000D29AF" w:rsidRPr="00AD1315" w:rsidRDefault="000310B3" w:rsidP="00AD1315">
            <w:pPr>
              <w:numPr>
                <w:ilvl w:val="0"/>
                <w:numId w:val="5"/>
              </w:numPr>
              <w:spacing w:after="120"/>
            </w:pPr>
            <w:r w:rsidRPr="00AD1315">
              <w:t>bis zu 120.000 Euro pro Jahr</w:t>
            </w:r>
          </w:p>
          <w:p w14:paraId="581F6E19" w14:textId="77777777" w:rsidR="000D29AF" w:rsidRPr="00AD1315" w:rsidRDefault="000310B3" w:rsidP="00AD1315">
            <w:pPr>
              <w:numPr>
                <w:ilvl w:val="0"/>
                <w:numId w:val="5"/>
              </w:numPr>
              <w:spacing w:after="120"/>
            </w:pPr>
            <w:r w:rsidRPr="00AD1315">
              <w:t>Vollfinanzierung</w:t>
            </w:r>
          </w:p>
        </w:tc>
      </w:tr>
      <w:tr w:rsidR="00AD1315" w:rsidRPr="00AD1315" w14:paraId="59F7CE35" w14:textId="77777777" w:rsidTr="006C7ADC">
        <w:trPr>
          <w:trHeight w:val="710"/>
        </w:trPr>
        <w:tc>
          <w:tcPr>
            <w:tcW w:w="4397" w:type="dxa"/>
            <w:tcBorders>
              <w:top w:val="single" w:sz="8" w:space="0" w:color="FFFFFF"/>
              <w:left w:val="single" w:sz="8" w:space="0" w:color="FFFFFF"/>
              <w:bottom w:val="single" w:sz="8" w:space="0" w:color="FFFFFF"/>
              <w:right w:val="single" w:sz="8" w:space="0" w:color="FFFFFF"/>
            </w:tcBorders>
            <w:shd w:val="clear" w:color="auto" w:fill="E3E3E3"/>
            <w:tcMar>
              <w:top w:w="72" w:type="dxa"/>
              <w:left w:w="144" w:type="dxa"/>
              <w:bottom w:w="72" w:type="dxa"/>
              <w:right w:w="144" w:type="dxa"/>
            </w:tcMar>
            <w:hideMark/>
          </w:tcPr>
          <w:p w14:paraId="61B596D9" w14:textId="77777777" w:rsidR="00AD1315" w:rsidRPr="00AD1315" w:rsidRDefault="00AD1315" w:rsidP="00AD1315">
            <w:pPr>
              <w:spacing w:after="120"/>
            </w:pPr>
            <w:r w:rsidRPr="00AD1315">
              <w:t xml:space="preserve">Kreise mit </w:t>
            </w:r>
            <w:r w:rsidRPr="00AD1315">
              <w:rPr>
                <w:u w:val="single"/>
              </w:rPr>
              <w:t>zwei</w:t>
            </w:r>
            <w:r w:rsidRPr="00AD1315">
              <w:t xml:space="preserve"> Kommunen über 50%</w:t>
            </w:r>
          </w:p>
        </w:tc>
        <w:tc>
          <w:tcPr>
            <w:tcW w:w="4678" w:type="dxa"/>
            <w:tcBorders>
              <w:top w:val="single" w:sz="8" w:space="0" w:color="FFFFFF"/>
              <w:left w:val="single" w:sz="8" w:space="0" w:color="FFFFFF"/>
              <w:bottom w:val="single" w:sz="8" w:space="0" w:color="FFFFFF"/>
              <w:right w:val="single" w:sz="8" w:space="0" w:color="FFFFFF"/>
            </w:tcBorders>
            <w:shd w:val="clear" w:color="auto" w:fill="E3E3E3"/>
            <w:tcMar>
              <w:top w:w="72" w:type="dxa"/>
              <w:left w:w="144" w:type="dxa"/>
              <w:bottom w:w="72" w:type="dxa"/>
              <w:right w:w="144" w:type="dxa"/>
            </w:tcMar>
            <w:hideMark/>
          </w:tcPr>
          <w:p w14:paraId="0E68E8D0" w14:textId="77777777" w:rsidR="000D29AF" w:rsidRPr="00AD1315" w:rsidRDefault="000310B3" w:rsidP="00AD1315">
            <w:pPr>
              <w:numPr>
                <w:ilvl w:val="0"/>
                <w:numId w:val="6"/>
              </w:numPr>
              <w:spacing w:after="120"/>
            </w:pPr>
            <w:r w:rsidRPr="00AD1315">
              <w:t>bis zu 250.000 Euro pro Jahr</w:t>
            </w:r>
          </w:p>
          <w:p w14:paraId="69B82F34" w14:textId="77777777" w:rsidR="000D29AF" w:rsidRPr="00AD1315" w:rsidRDefault="000310B3" w:rsidP="00AD1315">
            <w:pPr>
              <w:numPr>
                <w:ilvl w:val="0"/>
                <w:numId w:val="6"/>
              </w:numPr>
              <w:spacing w:after="120"/>
            </w:pPr>
            <w:r w:rsidRPr="00AD1315">
              <w:t>Vollfinanzierung</w:t>
            </w:r>
          </w:p>
        </w:tc>
      </w:tr>
      <w:tr w:rsidR="00AD1315" w:rsidRPr="00AD1315" w14:paraId="5FD9EE10" w14:textId="77777777" w:rsidTr="006C7ADC">
        <w:trPr>
          <w:trHeight w:val="752"/>
        </w:trPr>
        <w:tc>
          <w:tcPr>
            <w:tcW w:w="4397" w:type="dxa"/>
            <w:tcBorders>
              <w:top w:val="single" w:sz="8" w:space="0" w:color="FFFFFF"/>
              <w:left w:val="single" w:sz="8" w:space="0" w:color="FFFFFF"/>
              <w:bottom w:val="single" w:sz="8" w:space="0" w:color="FFFFFF"/>
              <w:right w:val="single" w:sz="8" w:space="0" w:color="FFFFFF"/>
            </w:tcBorders>
            <w:shd w:val="clear" w:color="auto" w:fill="F1F1F1"/>
            <w:tcMar>
              <w:top w:w="72" w:type="dxa"/>
              <w:left w:w="144" w:type="dxa"/>
              <w:bottom w:w="72" w:type="dxa"/>
              <w:right w:w="144" w:type="dxa"/>
            </w:tcMar>
            <w:hideMark/>
          </w:tcPr>
          <w:p w14:paraId="12AEABD0" w14:textId="77777777" w:rsidR="00AD1315" w:rsidRPr="00AD1315" w:rsidRDefault="00AD1315" w:rsidP="00AD1315">
            <w:pPr>
              <w:spacing w:after="120"/>
            </w:pPr>
            <w:r w:rsidRPr="00AD1315">
              <w:t xml:space="preserve">Kreise mit </w:t>
            </w:r>
            <w:r w:rsidRPr="00AD1315">
              <w:rPr>
                <w:u w:val="single"/>
              </w:rPr>
              <w:t xml:space="preserve">drei oder mehr </w:t>
            </w:r>
            <w:r w:rsidRPr="00AD1315">
              <w:t>Kommunen über 50%</w:t>
            </w:r>
          </w:p>
        </w:tc>
        <w:tc>
          <w:tcPr>
            <w:tcW w:w="4678" w:type="dxa"/>
            <w:tcBorders>
              <w:top w:val="single" w:sz="8" w:space="0" w:color="FFFFFF"/>
              <w:left w:val="single" w:sz="8" w:space="0" w:color="FFFFFF"/>
              <w:bottom w:val="single" w:sz="8" w:space="0" w:color="FFFFFF"/>
              <w:right w:val="single" w:sz="8" w:space="0" w:color="FFFFFF"/>
            </w:tcBorders>
            <w:shd w:val="clear" w:color="auto" w:fill="F1F1F1"/>
            <w:tcMar>
              <w:top w:w="72" w:type="dxa"/>
              <w:left w:w="144" w:type="dxa"/>
              <w:bottom w:w="72" w:type="dxa"/>
              <w:right w:w="144" w:type="dxa"/>
            </w:tcMar>
            <w:hideMark/>
          </w:tcPr>
          <w:p w14:paraId="5201F4E5" w14:textId="77777777" w:rsidR="000D29AF" w:rsidRPr="00AD1315" w:rsidRDefault="000310B3" w:rsidP="00AD1315">
            <w:pPr>
              <w:numPr>
                <w:ilvl w:val="0"/>
                <w:numId w:val="7"/>
              </w:numPr>
              <w:spacing w:after="120"/>
            </w:pPr>
            <w:r w:rsidRPr="00AD1315">
              <w:t>bis zu 350.000 Euro pro Jahr</w:t>
            </w:r>
          </w:p>
          <w:p w14:paraId="301CE715" w14:textId="77777777" w:rsidR="000D29AF" w:rsidRPr="00AD1315" w:rsidRDefault="000310B3" w:rsidP="00AD1315">
            <w:pPr>
              <w:numPr>
                <w:ilvl w:val="0"/>
                <w:numId w:val="7"/>
              </w:numPr>
              <w:spacing w:after="120"/>
            </w:pPr>
            <w:r w:rsidRPr="00AD1315">
              <w:t>Vollfinanzierung</w:t>
            </w:r>
          </w:p>
        </w:tc>
      </w:tr>
    </w:tbl>
    <w:p w14:paraId="468EC90F" w14:textId="659177CD" w:rsidR="00AD1315" w:rsidRDefault="00122B40" w:rsidP="008B4241">
      <w:pPr>
        <w:spacing w:after="120"/>
      </w:pPr>
      <w:r>
        <w:t>*</w:t>
      </w:r>
      <w:r w:rsidR="00853B15">
        <w:t>Für bereits in der v</w:t>
      </w:r>
      <w:r w:rsidR="000310B3">
        <w:t xml:space="preserve">orangegangenen Förderphase angestoßene Maßnahmen gilt </w:t>
      </w:r>
      <w:r w:rsidR="00853B15">
        <w:t>in Abweichung von der Staffelung eine maximale Fördersumme, die durchschnittlich der Summe der letzten Förderphase entspricht</w:t>
      </w:r>
      <w:r w:rsidR="000310B3">
        <w:t>.</w:t>
      </w:r>
      <w:bookmarkStart w:id="0" w:name="_GoBack"/>
      <w:bookmarkEnd w:id="0"/>
    </w:p>
    <w:p w14:paraId="6EC417D8" w14:textId="77777777" w:rsidR="006C7ADC" w:rsidRDefault="006C7ADC" w:rsidP="008B4241">
      <w:pPr>
        <w:spacing w:after="120"/>
      </w:pPr>
    </w:p>
    <w:p w14:paraId="73D399AD" w14:textId="77777777" w:rsidR="006C7ADC" w:rsidRDefault="006C7ADC" w:rsidP="008B4241">
      <w:pPr>
        <w:spacing w:after="120"/>
      </w:pPr>
    </w:p>
    <w:p w14:paraId="17BB6462" w14:textId="77777777" w:rsidR="008B4241" w:rsidRDefault="008B4241" w:rsidP="008B4241">
      <w:pPr>
        <w:spacing w:after="120"/>
        <w:rPr>
          <w:b/>
        </w:rPr>
      </w:pPr>
      <w:r>
        <w:rPr>
          <w:b/>
        </w:rPr>
        <w:t>Förderfähige Ausgaben</w:t>
      </w:r>
    </w:p>
    <w:p w14:paraId="0B06B1B0" w14:textId="77777777" w:rsidR="008B4241" w:rsidRDefault="008B4241" w:rsidP="008B4241">
      <w:pPr>
        <w:spacing w:after="120"/>
      </w:pPr>
      <w:r>
        <w:t>Zu den förderfähigen Ausgaben zählen:</w:t>
      </w:r>
    </w:p>
    <w:p w14:paraId="1ADB5540" w14:textId="77777777" w:rsidR="008B4241" w:rsidRDefault="008B4241" w:rsidP="008B4241">
      <w:pPr>
        <w:pStyle w:val="Listenabsatz"/>
        <w:numPr>
          <w:ilvl w:val="0"/>
          <w:numId w:val="2"/>
        </w:numPr>
        <w:spacing w:after="120"/>
        <w:rPr>
          <w:rFonts w:ascii="Arial" w:hAnsi="Arial" w:cs="Arial"/>
        </w:rPr>
      </w:pPr>
      <w:r>
        <w:rPr>
          <w:rFonts w:ascii="Arial" w:hAnsi="Arial" w:cs="Arial"/>
        </w:rPr>
        <w:t>Sachausgaben (z.B. für Mieten, Bürobedarf, Mittel für Netzwerk- und Öffentlichkeitsarbeit, Honorare, Kosten für Aus- und Weiterbildungen)</w:t>
      </w:r>
    </w:p>
    <w:p w14:paraId="6B624772" w14:textId="3BDE8C2F" w:rsidR="008B4241" w:rsidRDefault="008B4241" w:rsidP="008B4241">
      <w:pPr>
        <w:pStyle w:val="Listenabsatz"/>
        <w:numPr>
          <w:ilvl w:val="0"/>
          <w:numId w:val="2"/>
        </w:numPr>
        <w:spacing w:after="120"/>
        <w:rPr>
          <w:rFonts w:ascii="Arial" w:hAnsi="Arial" w:cs="Arial"/>
        </w:rPr>
      </w:pPr>
      <w:r>
        <w:rPr>
          <w:rFonts w:ascii="Arial" w:hAnsi="Arial" w:cs="Arial"/>
        </w:rPr>
        <w:t xml:space="preserve">Personalausgaben (z.B. Sozialarbeiter, Streetworker, Verwaltungspersonal zu Administration). Personalausgaben entstehen durch sozialversicherungspflichtige Beschäftigungsverhältnisse. Wenn Personalausgaben beantragt werden, muss im Konzept eine Stellenbeschreibung eingereicht werden. Aus dieser muss hervorgehen, welche Tätigkeiten erbracht werden sollen. </w:t>
      </w:r>
      <w:r w:rsidR="00286C18">
        <w:rPr>
          <w:rFonts w:ascii="Arial" w:hAnsi="Arial" w:cs="Arial"/>
        </w:rPr>
        <w:t xml:space="preserve">Es ist angestrebt, dass der </w:t>
      </w:r>
      <w:r>
        <w:rPr>
          <w:rFonts w:ascii="Arial" w:hAnsi="Arial" w:cs="Arial"/>
        </w:rPr>
        <w:t>Stellenanteil einer Stelle den Beschäftigungsumfang von 50% einer Vollzeitstelle nicht unterschreite</w:t>
      </w:r>
      <w:r w:rsidR="00286C18">
        <w:rPr>
          <w:rFonts w:ascii="Arial" w:hAnsi="Arial" w:cs="Arial"/>
        </w:rPr>
        <w:t>t</w:t>
      </w:r>
      <w:r>
        <w:rPr>
          <w:rFonts w:ascii="Arial" w:hAnsi="Arial" w:cs="Arial"/>
        </w:rPr>
        <w:t xml:space="preserve">. </w:t>
      </w:r>
    </w:p>
    <w:p w14:paraId="345BE065" w14:textId="77777777" w:rsidR="008A79A4" w:rsidRDefault="008A79A4" w:rsidP="008A79A4">
      <w:pPr>
        <w:pStyle w:val="Listenabsatz"/>
        <w:spacing w:after="120"/>
        <w:rPr>
          <w:rFonts w:ascii="Arial" w:hAnsi="Arial" w:cs="Arial"/>
        </w:rPr>
      </w:pPr>
    </w:p>
    <w:p w14:paraId="43BC3F75" w14:textId="77777777" w:rsidR="008B4241" w:rsidRDefault="008B4241" w:rsidP="008B4241">
      <w:pPr>
        <w:spacing w:after="120"/>
      </w:pPr>
    </w:p>
    <w:p w14:paraId="27DB5142" w14:textId="77777777" w:rsidR="00122B40" w:rsidRDefault="00122B40" w:rsidP="008B4241">
      <w:pPr>
        <w:spacing w:after="120"/>
      </w:pPr>
    </w:p>
    <w:p w14:paraId="23C91E14" w14:textId="77777777" w:rsidR="008B4241" w:rsidRDefault="008B4241" w:rsidP="008B4241">
      <w:pPr>
        <w:spacing w:after="120"/>
        <w:rPr>
          <w:b/>
        </w:rPr>
      </w:pPr>
      <w:r>
        <w:rPr>
          <w:b/>
        </w:rPr>
        <w:t>Zuwendungsvoraussetzungen</w:t>
      </w:r>
    </w:p>
    <w:p w14:paraId="7593BB94" w14:textId="77777777" w:rsidR="008B4241" w:rsidRDefault="008B4241" w:rsidP="008B4241">
      <w:pPr>
        <w:spacing w:after="120"/>
      </w:pPr>
      <w:r>
        <w:t xml:space="preserve">Die Kommune stellt bei der Antragsstellung dar, inwieweit durch Neuzuwanderung aus Südosteuropa eine besondere Problemlage vor Ort entstanden ist. Im Rahmen einer schlüssigen und nachvollziehbaren Konzeption sind Ziele zu definieren und Maßnahmen zu beschreiben, mit welchen die gesetzten Ziele erreicht werden sollen. In der Beschreibung ist der räumliche Einsatz von Personal darzustellen. Weiterhin ist darauf einzugehen, in welcher Weise die inhaltliche Abgrenzung von anderen Programmen, Maßnahme- und Projektbereichen sichergestellt wird, in denen </w:t>
      </w:r>
      <w:proofErr w:type="spellStart"/>
      <w:r>
        <w:t>Ansprachekonzepte</w:t>
      </w:r>
      <w:proofErr w:type="spellEnd"/>
      <w:r>
        <w:t xml:space="preserve"> für denselben Personenkreis umgesetzt werden. Werden Maßnahmen oder Projekte mit diesen ergänzt oder verzahnt, ist dies zu erläutern. Schwerpunktsetzungen werden mit Blick auf die örtlichen Bedarfslagen unterstützt. Des Weiteren ist auszuführen, wie die gefunden Ansätze nach Ende der Förderlaufzeit in den örtlichen Regelstrukturen überführt werden können. Abschließend sind im Antrag Zwischenziele (Meilensteine) zu benennen sowie Prüfkriterien zur Zielerreichung. </w:t>
      </w:r>
    </w:p>
    <w:p w14:paraId="3F90268F" w14:textId="77777777" w:rsidR="008B4241" w:rsidRDefault="008B4241" w:rsidP="008B4241">
      <w:pPr>
        <w:spacing w:after="120"/>
      </w:pPr>
      <w:r>
        <w:t>Alle Anträge haben zwei Ziele zu berücksichtigen, auf die die Landesregierung besonderen Wert legt:</w:t>
      </w:r>
    </w:p>
    <w:p w14:paraId="1824174A" w14:textId="77777777" w:rsidR="008B4241" w:rsidRDefault="008B4241" w:rsidP="008B4241">
      <w:pPr>
        <w:pStyle w:val="Listenabsatz"/>
        <w:numPr>
          <w:ilvl w:val="0"/>
          <w:numId w:val="3"/>
        </w:numPr>
        <w:spacing w:after="120"/>
        <w:rPr>
          <w:rFonts w:ascii="Arial" w:hAnsi="Arial" w:cs="Arial"/>
        </w:rPr>
      </w:pPr>
      <w:r>
        <w:rPr>
          <w:rFonts w:ascii="Arial" w:hAnsi="Arial" w:cs="Arial"/>
        </w:rPr>
        <w:t>Verbindliche Mitwirkung in dem landesweiten Netzwerk der Kommunen, die mit der Thematik befasst sind. Information und Erfahrungsaustausch mit anderen betroffenen Kommunen</w:t>
      </w:r>
    </w:p>
    <w:p w14:paraId="3B9E3578" w14:textId="77777777" w:rsidR="008B4241" w:rsidRDefault="00FF5EC5" w:rsidP="008B4241">
      <w:pPr>
        <w:pStyle w:val="Listenabsatz"/>
        <w:numPr>
          <w:ilvl w:val="0"/>
          <w:numId w:val="3"/>
        </w:numPr>
        <w:spacing w:after="120"/>
        <w:rPr>
          <w:rFonts w:ascii="Arial" w:hAnsi="Arial" w:cs="Arial"/>
        </w:rPr>
      </w:pPr>
      <w:r>
        <w:rPr>
          <w:rFonts w:ascii="Arial" w:hAnsi="Arial" w:cs="Arial"/>
        </w:rPr>
        <w:t xml:space="preserve">Einbezug von Vertretern der </w:t>
      </w:r>
      <w:r w:rsidR="008B4241">
        <w:rPr>
          <w:rFonts w:ascii="Arial" w:hAnsi="Arial" w:cs="Arial"/>
        </w:rPr>
        <w:t>Zielgruppe</w:t>
      </w:r>
      <w:r>
        <w:rPr>
          <w:rFonts w:ascii="Arial" w:hAnsi="Arial" w:cs="Arial"/>
        </w:rPr>
        <w:t xml:space="preserve"> oder Community</w:t>
      </w:r>
      <w:r w:rsidR="008B4241">
        <w:rPr>
          <w:rFonts w:ascii="Arial" w:hAnsi="Arial" w:cs="Arial"/>
        </w:rPr>
        <w:t xml:space="preserve"> in Planung von Angeboten und Durchführung von Maßnahmen</w:t>
      </w:r>
    </w:p>
    <w:p w14:paraId="3F76104A" w14:textId="77777777" w:rsidR="008B4241" w:rsidRDefault="008B4241" w:rsidP="008B4241">
      <w:pPr>
        <w:spacing w:after="120"/>
      </w:pPr>
    </w:p>
    <w:p w14:paraId="2F5BBC9A" w14:textId="77777777" w:rsidR="008B4241" w:rsidRDefault="008B4241" w:rsidP="008B4241">
      <w:pPr>
        <w:spacing w:after="120"/>
      </w:pPr>
      <w:r>
        <w:t xml:space="preserve">Die Zusammenarbeit mit anderen Akteuren vor Ort, insbesondere den Integrationsagenturen und Migrantenselbstorganisationen, ist erwünscht. </w:t>
      </w:r>
    </w:p>
    <w:p w14:paraId="6D5F31FD" w14:textId="77777777" w:rsidR="008B4241" w:rsidRDefault="008B4241" w:rsidP="008B4241">
      <w:pPr>
        <w:pStyle w:val="Flietext"/>
        <w:spacing w:after="120"/>
      </w:pPr>
    </w:p>
    <w:p w14:paraId="780DB323" w14:textId="77777777" w:rsidR="00881F59" w:rsidRPr="00FB6CC0" w:rsidRDefault="00881F59" w:rsidP="00E006AF">
      <w:pPr>
        <w:jc w:val="both"/>
      </w:pPr>
    </w:p>
    <w:sectPr w:rsidR="00881F59" w:rsidRPr="00FB6CC0" w:rsidSect="00AD1315">
      <w:headerReference w:type="default" r:id="rId7"/>
      <w:footerReference w:type="default" r:id="rId8"/>
      <w:pgSz w:w="11906" w:h="16838"/>
      <w:pgMar w:top="212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EB117E" w14:textId="77777777" w:rsidR="006A2A7B" w:rsidRDefault="006A2A7B" w:rsidP="008B4241">
      <w:r>
        <w:separator/>
      </w:r>
    </w:p>
  </w:endnote>
  <w:endnote w:type="continuationSeparator" w:id="0">
    <w:p w14:paraId="026748B7" w14:textId="77777777" w:rsidR="006A2A7B" w:rsidRDefault="006A2A7B" w:rsidP="008B4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6434126"/>
      <w:docPartObj>
        <w:docPartGallery w:val="Page Numbers (Bottom of Page)"/>
        <w:docPartUnique/>
      </w:docPartObj>
    </w:sdtPr>
    <w:sdtEndPr/>
    <w:sdtContent>
      <w:p w14:paraId="08B4559A" w14:textId="008F4B88" w:rsidR="008B4241" w:rsidRDefault="008B4241">
        <w:pPr>
          <w:pStyle w:val="Fuzeile"/>
          <w:jc w:val="center"/>
        </w:pPr>
        <w:r w:rsidRPr="008B4241">
          <w:rPr>
            <w:sz w:val="22"/>
          </w:rPr>
          <w:fldChar w:fldCharType="begin"/>
        </w:r>
        <w:r w:rsidRPr="008B4241">
          <w:rPr>
            <w:sz w:val="22"/>
          </w:rPr>
          <w:instrText>PAGE   \* MERGEFORMAT</w:instrText>
        </w:r>
        <w:r w:rsidRPr="008B4241">
          <w:rPr>
            <w:sz w:val="22"/>
          </w:rPr>
          <w:fldChar w:fldCharType="separate"/>
        </w:r>
        <w:r w:rsidR="00A50BF9">
          <w:rPr>
            <w:noProof/>
            <w:sz w:val="22"/>
          </w:rPr>
          <w:t>4</w:t>
        </w:r>
        <w:r w:rsidRPr="008B4241">
          <w:rPr>
            <w:sz w:val="22"/>
          </w:rPr>
          <w:fldChar w:fldCharType="end"/>
        </w:r>
      </w:p>
    </w:sdtContent>
  </w:sdt>
  <w:p w14:paraId="09449EFC" w14:textId="77777777" w:rsidR="008B4241" w:rsidRDefault="008B424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1784DA" w14:textId="77777777" w:rsidR="006A2A7B" w:rsidRDefault="006A2A7B" w:rsidP="008B4241">
      <w:r>
        <w:separator/>
      </w:r>
    </w:p>
  </w:footnote>
  <w:footnote w:type="continuationSeparator" w:id="0">
    <w:p w14:paraId="1D9B4241" w14:textId="77777777" w:rsidR="006A2A7B" w:rsidRDefault="006A2A7B" w:rsidP="008B42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E171D6" w14:textId="77777777" w:rsidR="008B4241" w:rsidRDefault="008B4241">
    <w:pPr>
      <w:pStyle w:val="Kopfzeile"/>
    </w:pPr>
    <w:r>
      <w:rPr>
        <w:noProof/>
      </w:rPr>
      <w:drawing>
        <wp:anchor distT="0" distB="0" distL="114300" distR="114300" simplePos="0" relativeHeight="251659264" behindDoc="0" locked="0" layoutInCell="1" allowOverlap="1" wp14:anchorId="698D6C29" wp14:editId="717B4260">
          <wp:simplePos x="0" y="0"/>
          <wp:positionH relativeFrom="column">
            <wp:posOffset>3695700</wp:posOffset>
          </wp:positionH>
          <wp:positionV relativeFrom="paragraph">
            <wp:posOffset>-286385</wp:posOffset>
          </wp:positionV>
          <wp:extent cx="2863516" cy="809625"/>
          <wp:effectExtent l="0" t="0"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863516" cy="8096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A7A44"/>
    <w:multiLevelType w:val="hybridMultilevel"/>
    <w:tmpl w:val="C0C85AD2"/>
    <w:lvl w:ilvl="0" w:tplc="B1326722">
      <w:start w:val="1"/>
      <w:numFmt w:val="bullet"/>
      <w:lvlText w:val="•"/>
      <w:lvlJc w:val="left"/>
      <w:pPr>
        <w:tabs>
          <w:tab w:val="num" w:pos="720"/>
        </w:tabs>
        <w:ind w:left="720" w:hanging="360"/>
      </w:pPr>
      <w:rPr>
        <w:rFonts w:ascii="Arial" w:hAnsi="Arial" w:hint="default"/>
      </w:rPr>
    </w:lvl>
    <w:lvl w:ilvl="1" w:tplc="DE04FEAA" w:tentative="1">
      <w:start w:val="1"/>
      <w:numFmt w:val="bullet"/>
      <w:lvlText w:val="•"/>
      <w:lvlJc w:val="left"/>
      <w:pPr>
        <w:tabs>
          <w:tab w:val="num" w:pos="1440"/>
        </w:tabs>
        <w:ind w:left="1440" w:hanging="360"/>
      </w:pPr>
      <w:rPr>
        <w:rFonts w:ascii="Arial" w:hAnsi="Arial" w:hint="default"/>
      </w:rPr>
    </w:lvl>
    <w:lvl w:ilvl="2" w:tplc="7BC014FA" w:tentative="1">
      <w:start w:val="1"/>
      <w:numFmt w:val="bullet"/>
      <w:lvlText w:val="•"/>
      <w:lvlJc w:val="left"/>
      <w:pPr>
        <w:tabs>
          <w:tab w:val="num" w:pos="2160"/>
        </w:tabs>
        <w:ind w:left="2160" w:hanging="360"/>
      </w:pPr>
      <w:rPr>
        <w:rFonts w:ascii="Arial" w:hAnsi="Arial" w:hint="default"/>
      </w:rPr>
    </w:lvl>
    <w:lvl w:ilvl="3" w:tplc="2056E95A" w:tentative="1">
      <w:start w:val="1"/>
      <w:numFmt w:val="bullet"/>
      <w:lvlText w:val="•"/>
      <w:lvlJc w:val="left"/>
      <w:pPr>
        <w:tabs>
          <w:tab w:val="num" w:pos="2880"/>
        </w:tabs>
        <w:ind w:left="2880" w:hanging="360"/>
      </w:pPr>
      <w:rPr>
        <w:rFonts w:ascii="Arial" w:hAnsi="Arial" w:hint="default"/>
      </w:rPr>
    </w:lvl>
    <w:lvl w:ilvl="4" w:tplc="AB962E78" w:tentative="1">
      <w:start w:val="1"/>
      <w:numFmt w:val="bullet"/>
      <w:lvlText w:val="•"/>
      <w:lvlJc w:val="left"/>
      <w:pPr>
        <w:tabs>
          <w:tab w:val="num" w:pos="3600"/>
        </w:tabs>
        <w:ind w:left="3600" w:hanging="360"/>
      </w:pPr>
      <w:rPr>
        <w:rFonts w:ascii="Arial" w:hAnsi="Arial" w:hint="default"/>
      </w:rPr>
    </w:lvl>
    <w:lvl w:ilvl="5" w:tplc="122ED834" w:tentative="1">
      <w:start w:val="1"/>
      <w:numFmt w:val="bullet"/>
      <w:lvlText w:val="•"/>
      <w:lvlJc w:val="left"/>
      <w:pPr>
        <w:tabs>
          <w:tab w:val="num" w:pos="4320"/>
        </w:tabs>
        <w:ind w:left="4320" w:hanging="360"/>
      </w:pPr>
      <w:rPr>
        <w:rFonts w:ascii="Arial" w:hAnsi="Arial" w:hint="default"/>
      </w:rPr>
    </w:lvl>
    <w:lvl w:ilvl="6" w:tplc="F53472DE" w:tentative="1">
      <w:start w:val="1"/>
      <w:numFmt w:val="bullet"/>
      <w:lvlText w:val="•"/>
      <w:lvlJc w:val="left"/>
      <w:pPr>
        <w:tabs>
          <w:tab w:val="num" w:pos="5040"/>
        </w:tabs>
        <w:ind w:left="5040" w:hanging="360"/>
      </w:pPr>
      <w:rPr>
        <w:rFonts w:ascii="Arial" w:hAnsi="Arial" w:hint="default"/>
      </w:rPr>
    </w:lvl>
    <w:lvl w:ilvl="7" w:tplc="4C3E715E" w:tentative="1">
      <w:start w:val="1"/>
      <w:numFmt w:val="bullet"/>
      <w:lvlText w:val="•"/>
      <w:lvlJc w:val="left"/>
      <w:pPr>
        <w:tabs>
          <w:tab w:val="num" w:pos="5760"/>
        </w:tabs>
        <w:ind w:left="5760" w:hanging="360"/>
      </w:pPr>
      <w:rPr>
        <w:rFonts w:ascii="Arial" w:hAnsi="Arial" w:hint="default"/>
      </w:rPr>
    </w:lvl>
    <w:lvl w:ilvl="8" w:tplc="A1DC09A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380594C"/>
    <w:multiLevelType w:val="hybridMultilevel"/>
    <w:tmpl w:val="F93E620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25450435"/>
    <w:multiLevelType w:val="hybridMultilevel"/>
    <w:tmpl w:val="25C0A614"/>
    <w:lvl w:ilvl="0" w:tplc="CBC28980">
      <w:start w:val="1"/>
      <w:numFmt w:val="bullet"/>
      <w:lvlText w:val="•"/>
      <w:lvlJc w:val="left"/>
      <w:pPr>
        <w:tabs>
          <w:tab w:val="num" w:pos="720"/>
        </w:tabs>
        <w:ind w:left="720" w:hanging="360"/>
      </w:pPr>
      <w:rPr>
        <w:rFonts w:ascii="Arial" w:hAnsi="Arial" w:hint="default"/>
      </w:rPr>
    </w:lvl>
    <w:lvl w:ilvl="1" w:tplc="9282210A" w:tentative="1">
      <w:start w:val="1"/>
      <w:numFmt w:val="bullet"/>
      <w:lvlText w:val="•"/>
      <w:lvlJc w:val="left"/>
      <w:pPr>
        <w:tabs>
          <w:tab w:val="num" w:pos="1440"/>
        </w:tabs>
        <w:ind w:left="1440" w:hanging="360"/>
      </w:pPr>
      <w:rPr>
        <w:rFonts w:ascii="Arial" w:hAnsi="Arial" w:hint="default"/>
      </w:rPr>
    </w:lvl>
    <w:lvl w:ilvl="2" w:tplc="BEFA3798" w:tentative="1">
      <w:start w:val="1"/>
      <w:numFmt w:val="bullet"/>
      <w:lvlText w:val="•"/>
      <w:lvlJc w:val="left"/>
      <w:pPr>
        <w:tabs>
          <w:tab w:val="num" w:pos="2160"/>
        </w:tabs>
        <w:ind w:left="2160" w:hanging="360"/>
      </w:pPr>
      <w:rPr>
        <w:rFonts w:ascii="Arial" w:hAnsi="Arial" w:hint="default"/>
      </w:rPr>
    </w:lvl>
    <w:lvl w:ilvl="3" w:tplc="0B04DF08" w:tentative="1">
      <w:start w:val="1"/>
      <w:numFmt w:val="bullet"/>
      <w:lvlText w:val="•"/>
      <w:lvlJc w:val="left"/>
      <w:pPr>
        <w:tabs>
          <w:tab w:val="num" w:pos="2880"/>
        </w:tabs>
        <w:ind w:left="2880" w:hanging="360"/>
      </w:pPr>
      <w:rPr>
        <w:rFonts w:ascii="Arial" w:hAnsi="Arial" w:hint="default"/>
      </w:rPr>
    </w:lvl>
    <w:lvl w:ilvl="4" w:tplc="B3C2C29E" w:tentative="1">
      <w:start w:val="1"/>
      <w:numFmt w:val="bullet"/>
      <w:lvlText w:val="•"/>
      <w:lvlJc w:val="left"/>
      <w:pPr>
        <w:tabs>
          <w:tab w:val="num" w:pos="3600"/>
        </w:tabs>
        <w:ind w:left="3600" w:hanging="360"/>
      </w:pPr>
      <w:rPr>
        <w:rFonts w:ascii="Arial" w:hAnsi="Arial" w:hint="default"/>
      </w:rPr>
    </w:lvl>
    <w:lvl w:ilvl="5" w:tplc="BC2ED630" w:tentative="1">
      <w:start w:val="1"/>
      <w:numFmt w:val="bullet"/>
      <w:lvlText w:val="•"/>
      <w:lvlJc w:val="left"/>
      <w:pPr>
        <w:tabs>
          <w:tab w:val="num" w:pos="4320"/>
        </w:tabs>
        <w:ind w:left="4320" w:hanging="360"/>
      </w:pPr>
      <w:rPr>
        <w:rFonts w:ascii="Arial" w:hAnsi="Arial" w:hint="default"/>
      </w:rPr>
    </w:lvl>
    <w:lvl w:ilvl="6" w:tplc="A3BE31A8" w:tentative="1">
      <w:start w:val="1"/>
      <w:numFmt w:val="bullet"/>
      <w:lvlText w:val="•"/>
      <w:lvlJc w:val="left"/>
      <w:pPr>
        <w:tabs>
          <w:tab w:val="num" w:pos="5040"/>
        </w:tabs>
        <w:ind w:left="5040" w:hanging="360"/>
      </w:pPr>
      <w:rPr>
        <w:rFonts w:ascii="Arial" w:hAnsi="Arial" w:hint="default"/>
      </w:rPr>
    </w:lvl>
    <w:lvl w:ilvl="7" w:tplc="6E5898B8" w:tentative="1">
      <w:start w:val="1"/>
      <w:numFmt w:val="bullet"/>
      <w:lvlText w:val="•"/>
      <w:lvlJc w:val="left"/>
      <w:pPr>
        <w:tabs>
          <w:tab w:val="num" w:pos="5760"/>
        </w:tabs>
        <w:ind w:left="5760" w:hanging="360"/>
      </w:pPr>
      <w:rPr>
        <w:rFonts w:ascii="Arial" w:hAnsi="Arial" w:hint="default"/>
      </w:rPr>
    </w:lvl>
    <w:lvl w:ilvl="8" w:tplc="6296854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FF240D8"/>
    <w:multiLevelType w:val="hybridMultilevel"/>
    <w:tmpl w:val="DFA0C064"/>
    <w:lvl w:ilvl="0" w:tplc="585632D6">
      <w:start w:val="1"/>
      <w:numFmt w:val="bullet"/>
      <w:lvlText w:val="•"/>
      <w:lvlJc w:val="left"/>
      <w:pPr>
        <w:tabs>
          <w:tab w:val="num" w:pos="720"/>
        </w:tabs>
        <w:ind w:left="720" w:hanging="360"/>
      </w:pPr>
      <w:rPr>
        <w:rFonts w:ascii="Arial" w:hAnsi="Arial" w:hint="default"/>
      </w:rPr>
    </w:lvl>
    <w:lvl w:ilvl="1" w:tplc="BCC0A4BC" w:tentative="1">
      <w:start w:val="1"/>
      <w:numFmt w:val="bullet"/>
      <w:lvlText w:val="•"/>
      <w:lvlJc w:val="left"/>
      <w:pPr>
        <w:tabs>
          <w:tab w:val="num" w:pos="1440"/>
        </w:tabs>
        <w:ind w:left="1440" w:hanging="360"/>
      </w:pPr>
      <w:rPr>
        <w:rFonts w:ascii="Arial" w:hAnsi="Arial" w:hint="default"/>
      </w:rPr>
    </w:lvl>
    <w:lvl w:ilvl="2" w:tplc="641E6216" w:tentative="1">
      <w:start w:val="1"/>
      <w:numFmt w:val="bullet"/>
      <w:lvlText w:val="•"/>
      <w:lvlJc w:val="left"/>
      <w:pPr>
        <w:tabs>
          <w:tab w:val="num" w:pos="2160"/>
        </w:tabs>
        <w:ind w:left="2160" w:hanging="360"/>
      </w:pPr>
      <w:rPr>
        <w:rFonts w:ascii="Arial" w:hAnsi="Arial" w:hint="default"/>
      </w:rPr>
    </w:lvl>
    <w:lvl w:ilvl="3" w:tplc="7A7EBD78" w:tentative="1">
      <w:start w:val="1"/>
      <w:numFmt w:val="bullet"/>
      <w:lvlText w:val="•"/>
      <w:lvlJc w:val="left"/>
      <w:pPr>
        <w:tabs>
          <w:tab w:val="num" w:pos="2880"/>
        </w:tabs>
        <w:ind w:left="2880" w:hanging="360"/>
      </w:pPr>
      <w:rPr>
        <w:rFonts w:ascii="Arial" w:hAnsi="Arial" w:hint="default"/>
      </w:rPr>
    </w:lvl>
    <w:lvl w:ilvl="4" w:tplc="169A9404" w:tentative="1">
      <w:start w:val="1"/>
      <w:numFmt w:val="bullet"/>
      <w:lvlText w:val="•"/>
      <w:lvlJc w:val="left"/>
      <w:pPr>
        <w:tabs>
          <w:tab w:val="num" w:pos="3600"/>
        </w:tabs>
        <w:ind w:left="3600" w:hanging="360"/>
      </w:pPr>
      <w:rPr>
        <w:rFonts w:ascii="Arial" w:hAnsi="Arial" w:hint="default"/>
      </w:rPr>
    </w:lvl>
    <w:lvl w:ilvl="5" w:tplc="DE1A0CEA" w:tentative="1">
      <w:start w:val="1"/>
      <w:numFmt w:val="bullet"/>
      <w:lvlText w:val="•"/>
      <w:lvlJc w:val="left"/>
      <w:pPr>
        <w:tabs>
          <w:tab w:val="num" w:pos="4320"/>
        </w:tabs>
        <w:ind w:left="4320" w:hanging="360"/>
      </w:pPr>
      <w:rPr>
        <w:rFonts w:ascii="Arial" w:hAnsi="Arial" w:hint="default"/>
      </w:rPr>
    </w:lvl>
    <w:lvl w:ilvl="6" w:tplc="B3FE94D0" w:tentative="1">
      <w:start w:val="1"/>
      <w:numFmt w:val="bullet"/>
      <w:lvlText w:val="•"/>
      <w:lvlJc w:val="left"/>
      <w:pPr>
        <w:tabs>
          <w:tab w:val="num" w:pos="5040"/>
        </w:tabs>
        <w:ind w:left="5040" w:hanging="360"/>
      </w:pPr>
      <w:rPr>
        <w:rFonts w:ascii="Arial" w:hAnsi="Arial" w:hint="default"/>
      </w:rPr>
    </w:lvl>
    <w:lvl w:ilvl="7" w:tplc="55FC32D8" w:tentative="1">
      <w:start w:val="1"/>
      <w:numFmt w:val="bullet"/>
      <w:lvlText w:val="•"/>
      <w:lvlJc w:val="left"/>
      <w:pPr>
        <w:tabs>
          <w:tab w:val="num" w:pos="5760"/>
        </w:tabs>
        <w:ind w:left="5760" w:hanging="360"/>
      </w:pPr>
      <w:rPr>
        <w:rFonts w:ascii="Arial" w:hAnsi="Arial" w:hint="default"/>
      </w:rPr>
    </w:lvl>
    <w:lvl w:ilvl="8" w:tplc="EC6CA36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54BD2EE5"/>
    <w:multiLevelType w:val="hybridMultilevel"/>
    <w:tmpl w:val="684821DA"/>
    <w:lvl w:ilvl="0" w:tplc="0407000F">
      <w:start w:val="1"/>
      <w:numFmt w:val="decimal"/>
      <w:lvlText w:val="%1."/>
      <w:lvlJc w:val="left"/>
      <w:pPr>
        <w:ind w:left="720" w:hanging="360"/>
      </w:p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6FAA1965"/>
    <w:multiLevelType w:val="hybridMultilevel"/>
    <w:tmpl w:val="BD18EE8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 w15:restartNumberingAfterBreak="0">
    <w:nsid w:val="78052265"/>
    <w:multiLevelType w:val="hybridMultilevel"/>
    <w:tmpl w:val="7188D00C"/>
    <w:lvl w:ilvl="0" w:tplc="0AD4A194">
      <w:start w:val="1"/>
      <w:numFmt w:val="bullet"/>
      <w:lvlText w:val="•"/>
      <w:lvlJc w:val="left"/>
      <w:pPr>
        <w:tabs>
          <w:tab w:val="num" w:pos="720"/>
        </w:tabs>
        <w:ind w:left="720" w:hanging="360"/>
      </w:pPr>
      <w:rPr>
        <w:rFonts w:ascii="Arial" w:hAnsi="Arial" w:hint="default"/>
      </w:rPr>
    </w:lvl>
    <w:lvl w:ilvl="1" w:tplc="48A2D3C4" w:tentative="1">
      <w:start w:val="1"/>
      <w:numFmt w:val="bullet"/>
      <w:lvlText w:val="•"/>
      <w:lvlJc w:val="left"/>
      <w:pPr>
        <w:tabs>
          <w:tab w:val="num" w:pos="1440"/>
        </w:tabs>
        <w:ind w:left="1440" w:hanging="360"/>
      </w:pPr>
      <w:rPr>
        <w:rFonts w:ascii="Arial" w:hAnsi="Arial" w:hint="default"/>
      </w:rPr>
    </w:lvl>
    <w:lvl w:ilvl="2" w:tplc="80940D24" w:tentative="1">
      <w:start w:val="1"/>
      <w:numFmt w:val="bullet"/>
      <w:lvlText w:val="•"/>
      <w:lvlJc w:val="left"/>
      <w:pPr>
        <w:tabs>
          <w:tab w:val="num" w:pos="2160"/>
        </w:tabs>
        <w:ind w:left="2160" w:hanging="360"/>
      </w:pPr>
      <w:rPr>
        <w:rFonts w:ascii="Arial" w:hAnsi="Arial" w:hint="default"/>
      </w:rPr>
    </w:lvl>
    <w:lvl w:ilvl="3" w:tplc="9DECE18C" w:tentative="1">
      <w:start w:val="1"/>
      <w:numFmt w:val="bullet"/>
      <w:lvlText w:val="•"/>
      <w:lvlJc w:val="left"/>
      <w:pPr>
        <w:tabs>
          <w:tab w:val="num" w:pos="2880"/>
        </w:tabs>
        <w:ind w:left="2880" w:hanging="360"/>
      </w:pPr>
      <w:rPr>
        <w:rFonts w:ascii="Arial" w:hAnsi="Arial" w:hint="default"/>
      </w:rPr>
    </w:lvl>
    <w:lvl w:ilvl="4" w:tplc="32CC4392" w:tentative="1">
      <w:start w:val="1"/>
      <w:numFmt w:val="bullet"/>
      <w:lvlText w:val="•"/>
      <w:lvlJc w:val="left"/>
      <w:pPr>
        <w:tabs>
          <w:tab w:val="num" w:pos="3600"/>
        </w:tabs>
        <w:ind w:left="3600" w:hanging="360"/>
      </w:pPr>
      <w:rPr>
        <w:rFonts w:ascii="Arial" w:hAnsi="Arial" w:hint="default"/>
      </w:rPr>
    </w:lvl>
    <w:lvl w:ilvl="5" w:tplc="843EDC36" w:tentative="1">
      <w:start w:val="1"/>
      <w:numFmt w:val="bullet"/>
      <w:lvlText w:val="•"/>
      <w:lvlJc w:val="left"/>
      <w:pPr>
        <w:tabs>
          <w:tab w:val="num" w:pos="4320"/>
        </w:tabs>
        <w:ind w:left="4320" w:hanging="360"/>
      </w:pPr>
      <w:rPr>
        <w:rFonts w:ascii="Arial" w:hAnsi="Arial" w:hint="default"/>
      </w:rPr>
    </w:lvl>
    <w:lvl w:ilvl="6" w:tplc="C518ACF6" w:tentative="1">
      <w:start w:val="1"/>
      <w:numFmt w:val="bullet"/>
      <w:lvlText w:val="•"/>
      <w:lvlJc w:val="left"/>
      <w:pPr>
        <w:tabs>
          <w:tab w:val="num" w:pos="5040"/>
        </w:tabs>
        <w:ind w:left="5040" w:hanging="360"/>
      </w:pPr>
      <w:rPr>
        <w:rFonts w:ascii="Arial" w:hAnsi="Arial" w:hint="default"/>
      </w:rPr>
    </w:lvl>
    <w:lvl w:ilvl="7" w:tplc="EF1A3A04" w:tentative="1">
      <w:start w:val="1"/>
      <w:numFmt w:val="bullet"/>
      <w:lvlText w:val="•"/>
      <w:lvlJc w:val="left"/>
      <w:pPr>
        <w:tabs>
          <w:tab w:val="num" w:pos="5760"/>
        </w:tabs>
        <w:ind w:left="5760" w:hanging="360"/>
      </w:pPr>
      <w:rPr>
        <w:rFonts w:ascii="Arial" w:hAnsi="Arial" w:hint="default"/>
      </w:rPr>
    </w:lvl>
    <w:lvl w:ilvl="8" w:tplc="1200CC42" w:tentative="1">
      <w:start w:val="1"/>
      <w:numFmt w:val="bullet"/>
      <w:lvlText w:val="•"/>
      <w:lvlJc w:val="left"/>
      <w:pPr>
        <w:tabs>
          <w:tab w:val="num" w:pos="6480"/>
        </w:tabs>
        <w:ind w:left="6480" w:hanging="360"/>
      </w:pPr>
      <w:rPr>
        <w:rFonts w:ascii="Arial" w:hAnsi="Arial" w:hint="default"/>
      </w:rPr>
    </w:lvl>
  </w:abstractNum>
  <w:num w:numId="1">
    <w:abstractNumId w:val="5"/>
  </w:num>
  <w:num w:numId="2">
    <w:abstractNumId w:val="1"/>
  </w:num>
  <w:num w:numId="3">
    <w:abstractNumId w:val="4"/>
    <w:lvlOverride w:ilvl="0">
      <w:startOverride w:val="1"/>
    </w:lvlOverride>
    <w:lvlOverride w:ilvl="1"/>
    <w:lvlOverride w:ilvl="2"/>
    <w:lvlOverride w:ilvl="3"/>
    <w:lvlOverride w:ilvl="4"/>
    <w:lvlOverride w:ilvl="5"/>
    <w:lvlOverride w:ilvl="6"/>
    <w:lvlOverride w:ilvl="7"/>
    <w:lvlOverride w:ilvl="8"/>
  </w:num>
  <w:num w:numId="4">
    <w:abstractNumId w:val="2"/>
  </w:num>
  <w:num w:numId="5">
    <w:abstractNumId w:val="0"/>
  </w:num>
  <w:num w:numId="6">
    <w:abstractNumId w:val="6"/>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88D"/>
    <w:rsid w:val="000310B3"/>
    <w:rsid w:val="0004220C"/>
    <w:rsid w:val="00042638"/>
    <w:rsid w:val="000D29AF"/>
    <w:rsid w:val="000D2D64"/>
    <w:rsid w:val="00122B40"/>
    <w:rsid w:val="00221A64"/>
    <w:rsid w:val="002478CC"/>
    <w:rsid w:val="00286C18"/>
    <w:rsid w:val="00355EFE"/>
    <w:rsid w:val="003B288D"/>
    <w:rsid w:val="004930AF"/>
    <w:rsid w:val="005104BA"/>
    <w:rsid w:val="005169E7"/>
    <w:rsid w:val="0055299A"/>
    <w:rsid w:val="00620DF6"/>
    <w:rsid w:val="006A2A7B"/>
    <w:rsid w:val="006C7ADC"/>
    <w:rsid w:val="00731392"/>
    <w:rsid w:val="008268FF"/>
    <w:rsid w:val="00853B15"/>
    <w:rsid w:val="00881F59"/>
    <w:rsid w:val="008A79A4"/>
    <w:rsid w:val="008B4241"/>
    <w:rsid w:val="009E034D"/>
    <w:rsid w:val="00A50BF9"/>
    <w:rsid w:val="00AD1315"/>
    <w:rsid w:val="00B07BFD"/>
    <w:rsid w:val="00B21320"/>
    <w:rsid w:val="00CE4057"/>
    <w:rsid w:val="00E006AF"/>
    <w:rsid w:val="00E471CE"/>
    <w:rsid w:val="00EC6DF9"/>
    <w:rsid w:val="00ED52DF"/>
    <w:rsid w:val="00F35905"/>
    <w:rsid w:val="00F64144"/>
    <w:rsid w:val="00F90CDE"/>
    <w:rsid w:val="00FB6CC0"/>
    <w:rsid w:val="00FC45F4"/>
    <w:rsid w:val="00FF5EC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44A754"/>
  <w15:chartTrackingRefBased/>
  <w15:docId w15:val="{FFDB2706-C579-4D89-B623-5FED17618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B4241"/>
    <w:rPr>
      <w:rFonts w:ascii="Arial" w:hAnsi="Arial" w:cs="Arial"/>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Makroschaltflche">
    <w:name w:val="Makroschaltfläche"/>
    <w:rsid w:val="0055299A"/>
    <w:rPr>
      <w:color w:val="0000FF"/>
    </w:rPr>
  </w:style>
  <w:style w:type="paragraph" w:styleId="Listenabsatz">
    <w:name w:val="List Paragraph"/>
    <w:basedOn w:val="Standard"/>
    <w:uiPriority w:val="34"/>
    <w:qFormat/>
    <w:rsid w:val="008B4241"/>
    <w:pPr>
      <w:ind w:left="720"/>
      <w:contextualSpacing/>
    </w:pPr>
    <w:rPr>
      <w:rFonts w:ascii="Times New Roman" w:hAnsi="Times New Roman" w:cs="Times New Roman"/>
    </w:rPr>
  </w:style>
  <w:style w:type="character" w:customStyle="1" w:styleId="FlietextZchn">
    <w:name w:val="Fließtext Zchn"/>
    <w:basedOn w:val="Absatz-Standardschriftart"/>
    <w:link w:val="Flietext"/>
    <w:locked/>
    <w:rsid w:val="008B4241"/>
    <w:rPr>
      <w:rFonts w:ascii="Arial" w:hAnsi="Arial" w:cs="Arial"/>
      <w:sz w:val="24"/>
      <w:szCs w:val="24"/>
    </w:rPr>
  </w:style>
  <w:style w:type="paragraph" w:customStyle="1" w:styleId="Flietext">
    <w:name w:val="Fließtext"/>
    <w:basedOn w:val="Standard"/>
    <w:link w:val="FlietextZchn"/>
    <w:rsid w:val="008B4241"/>
    <w:pPr>
      <w:spacing w:after="80" w:line="320" w:lineRule="atLeast"/>
    </w:pPr>
  </w:style>
  <w:style w:type="paragraph" w:styleId="Kopfzeile">
    <w:name w:val="header"/>
    <w:basedOn w:val="Standard"/>
    <w:link w:val="KopfzeileZchn"/>
    <w:unhideWhenUsed/>
    <w:rsid w:val="008B4241"/>
    <w:pPr>
      <w:tabs>
        <w:tab w:val="center" w:pos="4536"/>
        <w:tab w:val="right" w:pos="9072"/>
      </w:tabs>
    </w:pPr>
  </w:style>
  <w:style w:type="character" w:customStyle="1" w:styleId="KopfzeileZchn">
    <w:name w:val="Kopfzeile Zchn"/>
    <w:basedOn w:val="Absatz-Standardschriftart"/>
    <w:link w:val="Kopfzeile"/>
    <w:rsid w:val="008B4241"/>
    <w:rPr>
      <w:rFonts w:ascii="Arial" w:hAnsi="Arial" w:cs="Arial"/>
      <w:sz w:val="24"/>
      <w:szCs w:val="24"/>
    </w:rPr>
  </w:style>
  <w:style w:type="paragraph" w:styleId="Fuzeile">
    <w:name w:val="footer"/>
    <w:basedOn w:val="Standard"/>
    <w:link w:val="FuzeileZchn"/>
    <w:uiPriority w:val="99"/>
    <w:unhideWhenUsed/>
    <w:rsid w:val="008B4241"/>
    <w:pPr>
      <w:tabs>
        <w:tab w:val="center" w:pos="4536"/>
        <w:tab w:val="right" w:pos="9072"/>
      </w:tabs>
    </w:pPr>
  </w:style>
  <w:style w:type="character" w:customStyle="1" w:styleId="FuzeileZchn">
    <w:name w:val="Fußzeile Zchn"/>
    <w:basedOn w:val="Absatz-Standardschriftart"/>
    <w:link w:val="Fuzeile"/>
    <w:uiPriority w:val="99"/>
    <w:rsid w:val="008B4241"/>
    <w:rPr>
      <w:rFonts w:ascii="Arial" w:hAnsi="Arial" w:cs="Arial"/>
      <w:sz w:val="24"/>
      <w:szCs w:val="24"/>
    </w:rPr>
  </w:style>
  <w:style w:type="character" w:styleId="Kommentarzeichen">
    <w:name w:val="annotation reference"/>
    <w:basedOn w:val="Absatz-Standardschriftart"/>
    <w:semiHidden/>
    <w:unhideWhenUsed/>
    <w:rsid w:val="009E034D"/>
    <w:rPr>
      <w:sz w:val="16"/>
      <w:szCs w:val="16"/>
    </w:rPr>
  </w:style>
  <w:style w:type="paragraph" w:styleId="Kommentartext">
    <w:name w:val="annotation text"/>
    <w:basedOn w:val="Standard"/>
    <w:link w:val="KommentartextZchn"/>
    <w:semiHidden/>
    <w:unhideWhenUsed/>
    <w:rsid w:val="009E034D"/>
    <w:rPr>
      <w:sz w:val="20"/>
      <w:szCs w:val="20"/>
    </w:rPr>
  </w:style>
  <w:style w:type="character" w:customStyle="1" w:styleId="KommentartextZchn">
    <w:name w:val="Kommentartext Zchn"/>
    <w:basedOn w:val="Absatz-Standardschriftart"/>
    <w:link w:val="Kommentartext"/>
    <w:semiHidden/>
    <w:rsid w:val="009E034D"/>
    <w:rPr>
      <w:rFonts w:ascii="Arial" w:hAnsi="Arial" w:cs="Arial"/>
    </w:rPr>
  </w:style>
  <w:style w:type="paragraph" w:styleId="Kommentarthema">
    <w:name w:val="annotation subject"/>
    <w:basedOn w:val="Kommentartext"/>
    <w:next w:val="Kommentartext"/>
    <w:link w:val="KommentarthemaZchn"/>
    <w:semiHidden/>
    <w:unhideWhenUsed/>
    <w:rsid w:val="009E034D"/>
    <w:rPr>
      <w:b/>
      <w:bCs/>
    </w:rPr>
  </w:style>
  <w:style w:type="character" w:customStyle="1" w:styleId="KommentarthemaZchn">
    <w:name w:val="Kommentarthema Zchn"/>
    <w:basedOn w:val="KommentartextZchn"/>
    <w:link w:val="Kommentarthema"/>
    <w:semiHidden/>
    <w:rsid w:val="009E034D"/>
    <w:rPr>
      <w:rFonts w:ascii="Arial" w:hAnsi="Arial" w:cs="Arial"/>
      <w:b/>
      <w:bCs/>
    </w:rPr>
  </w:style>
  <w:style w:type="paragraph" w:styleId="Sprechblasentext">
    <w:name w:val="Balloon Text"/>
    <w:basedOn w:val="Standard"/>
    <w:link w:val="SprechblasentextZchn"/>
    <w:semiHidden/>
    <w:unhideWhenUsed/>
    <w:rsid w:val="009E034D"/>
    <w:rPr>
      <w:rFonts w:ascii="Segoe UI" w:hAnsi="Segoe UI" w:cs="Segoe UI"/>
      <w:sz w:val="18"/>
      <w:szCs w:val="18"/>
    </w:rPr>
  </w:style>
  <w:style w:type="character" w:customStyle="1" w:styleId="SprechblasentextZchn">
    <w:name w:val="Sprechblasentext Zchn"/>
    <w:basedOn w:val="Absatz-Standardschriftart"/>
    <w:link w:val="Sprechblasentext"/>
    <w:semiHidden/>
    <w:rsid w:val="009E03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05173">
      <w:bodyDiv w:val="1"/>
      <w:marLeft w:val="0"/>
      <w:marRight w:val="0"/>
      <w:marTop w:val="0"/>
      <w:marBottom w:val="0"/>
      <w:divBdr>
        <w:top w:val="none" w:sz="0" w:space="0" w:color="auto"/>
        <w:left w:val="none" w:sz="0" w:space="0" w:color="auto"/>
        <w:bottom w:val="none" w:sz="0" w:space="0" w:color="auto"/>
        <w:right w:val="none" w:sz="0" w:space="0" w:color="auto"/>
      </w:divBdr>
    </w:div>
    <w:div w:id="563104921">
      <w:bodyDiv w:val="1"/>
      <w:marLeft w:val="0"/>
      <w:marRight w:val="0"/>
      <w:marTop w:val="0"/>
      <w:marBottom w:val="0"/>
      <w:divBdr>
        <w:top w:val="none" w:sz="0" w:space="0" w:color="auto"/>
        <w:left w:val="none" w:sz="0" w:space="0" w:color="auto"/>
        <w:bottom w:val="none" w:sz="0" w:space="0" w:color="auto"/>
        <w:right w:val="none" w:sz="0" w:space="0" w:color="auto"/>
      </w:divBdr>
      <w:divsChild>
        <w:div w:id="1369913232">
          <w:marLeft w:val="446"/>
          <w:marRight w:val="0"/>
          <w:marTop w:val="0"/>
          <w:marBottom w:val="0"/>
          <w:divBdr>
            <w:top w:val="none" w:sz="0" w:space="0" w:color="auto"/>
            <w:left w:val="none" w:sz="0" w:space="0" w:color="auto"/>
            <w:bottom w:val="none" w:sz="0" w:space="0" w:color="auto"/>
            <w:right w:val="none" w:sz="0" w:space="0" w:color="auto"/>
          </w:divBdr>
        </w:div>
        <w:div w:id="1443300026">
          <w:marLeft w:val="446"/>
          <w:marRight w:val="0"/>
          <w:marTop w:val="0"/>
          <w:marBottom w:val="0"/>
          <w:divBdr>
            <w:top w:val="none" w:sz="0" w:space="0" w:color="auto"/>
            <w:left w:val="none" w:sz="0" w:space="0" w:color="auto"/>
            <w:bottom w:val="none" w:sz="0" w:space="0" w:color="auto"/>
            <w:right w:val="none" w:sz="0" w:space="0" w:color="auto"/>
          </w:divBdr>
        </w:div>
        <w:div w:id="1254437482">
          <w:marLeft w:val="446"/>
          <w:marRight w:val="0"/>
          <w:marTop w:val="0"/>
          <w:marBottom w:val="0"/>
          <w:divBdr>
            <w:top w:val="none" w:sz="0" w:space="0" w:color="auto"/>
            <w:left w:val="none" w:sz="0" w:space="0" w:color="auto"/>
            <w:bottom w:val="none" w:sz="0" w:space="0" w:color="auto"/>
            <w:right w:val="none" w:sz="0" w:space="0" w:color="auto"/>
          </w:divBdr>
        </w:div>
        <w:div w:id="12994374">
          <w:marLeft w:val="446"/>
          <w:marRight w:val="0"/>
          <w:marTop w:val="0"/>
          <w:marBottom w:val="0"/>
          <w:divBdr>
            <w:top w:val="none" w:sz="0" w:space="0" w:color="auto"/>
            <w:left w:val="none" w:sz="0" w:space="0" w:color="auto"/>
            <w:bottom w:val="none" w:sz="0" w:space="0" w:color="auto"/>
            <w:right w:val="none" w:sz="0" w:space="0" w:color="auto"/>
          </w:divBdr>
        </w:div>
        <w:div w:id="1572083238">
          <w:marLeft w:val="446"/>
          <w:marRight w:val="0"/>
          <w:marTop w:val="0"/>
          <w:marBottom w:val="0"/>
          <w:divBdr>
            <w:top w:val="none" w:sz="0" w:space="0" w:color="auto"/>
            <w:left w:val="none" w:sz="0" w:space="0" w:color="auto"/>
            <w:bottom w:val="none" w:sz="0" w:space="0" w:color="auto"/>
            <w:right w:val="none" w:sz="0" w:space="0" w:color="auto"/>
          </w:divBdr>
        </w:div>
        <w:div w:id="1042285307">
          <w:marLeft w:val="446"/>
          <w:marRight w:val="0"/>
          <w:marTop w:val="0"/>
          <w:marBottom w:val="0"/>
          <w:divBdr>
            <w:top w:val="none" w:sz="0" w:space="0" w:color="auto"/>
            <w:left w:val="none" w:sz="0" w:space="0" w:color="auto"/>
            <w:bottom w:val="none" w:sz="0" w:space="0" w:color="auto"/>
            <w:right w:val="none" w:sz="0" w:space="0" w:color="auto"/>
          </w:divBdr>
        </w:div>
        <w:div w:id="894897580">
          <w:marLeft w:val="446"/>
          <w:marRight w:val="0"/>
          <w:marTop w:val="0"/>
          <w:marBottom w:val="0"/>
          <w:divBdr>
            <w:top w:val="none" w:sz="0" w:space="0" w:color="auto"/>
            <w:left w:val="none" w:sz="0" w:space="0" w:color="auto"/>
            <w:bottom w:val="none" w:sz="0" w:space="0" w:color="auto"/>
            <w:right w:val="none" w:sz="0" w:space="0" w:color="auto"/>
          </w:divBdr>
        </w:div>
        <w:div w:id="2121297890">
          <w:marLeft w:val="446"/>
          <w:marRight w:val="0"/>
          <w:marTop w:val="0"/>
          <w:marBottom w:val="0"/>
          <w:divBdr>
            <w:top w:val="none" w:sz="0" w:space="0" w:color="auto"/>
            <w:left w:val="none" w:sz="0" w:space="0" w:color="auto"/>
            <w:bottom w:val="none" w:sz="0" w:space="0" w:color="auto"/>
            <w:right w:val="none" w:sz="0" w:space="0" w:color="auto"/>
          </w:divBdr>
        </w:div>
      </w:divsChild>
    </w:div>
    <w:div w:id="784352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920</Words>
  <Characters>6703</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Land NRW</Company>
  <LinksUpToDate>false</LinksUpToDate>
  <CharactersWithSpaces>7608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Kempf, Florian</dc:creator>
  <cp:keywords/>
  <dc:description/>
  <cp:lastModifiedBy>Kempf, Florian</cp:lastModifiedBy>
  <cp:revision>3</cp:revision>
  <dcterms:created xsi:type="dcterms:W3CDTF">2019-12-20T09:00:00Z</dcterms:created>
  <dcterms:modified xsi:type="dcterms:W3CDTF">2019-12-20T10:09:00Z</dcterms:modified>
</cp:coreProperties>
</file>