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086" w:rsidRPr="004536EC" w:rsidRDefault="00854086" w:rsidP="004536EC">
      <w:pPr>
        <w:rPr>
          <w:rFonts w:ascii="Arial" w:hAnsi="Arial" w:cs="Arial"/>
        </w:rPr>
      </w:pPr>
      <w:r w:rsidRPr="004536EC">
        <w:rPr>
          <w:rFonts w:ascii="Arial" w:hAnsi="Arial" w:cs="Arial"/>
        </w:rPr>
        <w:t xml:space="preserve">Bezirksregierung Arnsberg, Dezernat 52 – </w:t>
      </w:r>
      <w:proofErr w:type="spellStart"/>
      <w:r w:rsidR="004536EC" w:rsidRPr="004536EC">
        <w:rPr>
          <w:rFonts w:ascii="Arial" w:hAnsi="Arial" w:cs="Arial"/>
        </w:rPr>
        <w:t>AwSV</w:t>
      </w:r>
      <w:proofErr w:type="spellEnd"/>
      <w:r w:rsidR="00843293" w:rsidRPr="004536EC">
        <w:rPr>
          <w:rFonts w:ascii="Arial" w:hAnsi="Arial" w:cs="Arial"/>
        </w:rPr>
        <w:t xml:space="preserve"> </w:t>
      </w:r>
      <w:r w:rsidRPr="004536EC">
        <w:rPr>
          <w:rFonts w:ascii="Arial" w:hAnsi="Arial" w:cs="Arial"/>
        </w:rPr>
        <w:t>-</w:t>
      </w:r>
    </w:p>
    <w:p w:rsidR="00843293" w:rsidRPr="004536EC" w:rsidRDefault="001D12C9" w:rsidP="009B08F9">
      <w:pPr>
        <w:rPr>
          <w:rFonts w:ascii="Arial" w:hAnsi="Arial" w:cs="Arial"/>
        </w:rPr>
      </w:pPr>
      <w:r w:rsidRPr="004536EC">
        <w:rPr>
          <w:rFonts w:ascii="Arial" w:hAnsi="Arial" w:cs="Arial"/>
        </w:rPr>
        <w:t xml:space="preserve">Stand: </w:t>
      </w:r>
      <w:r w:rsidR="00456366">
        <w:rPr>
          <w:rFonts w:ascii="Arial" w:hAnsi="Arial" w:cs="Arial"/>
        </w:rPr>
        <w:t>01.08</w:t>
      </w:r>
      <w:r w:rsidR="004536EC" w:rsidRPr="004536EC">
        <w:rPr>
          <w:rFonts w:ascii="Arial" w:hAnsi="Arial" w:cs="Arial"/>
        </w:rPr>
        <w:t>.2017</w:t>
      </w:r>
      <w:r w:rsidR="00324D64">
        <w:rPr>
          <w:rFonts w:ascii="Arial" w:hAnsi="Arial" w:cs="Arial"/>
        </w:rPr>
        <w:t xml:space="preserve"> </w:t>
      </w:r>
    </w:p>
    <w:p w:rsidR="00854086" w:rsidRPr="00854086" w:rsidRDefault="00537253" w:rsidP="009B08F9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0;height:1.5pt" o:hralign="center" o:hrstd="t" o:hr="t" fillcolor="#a0a0a0" stroked="f"/>
        </w:pict>
      </w:r>
    </w:p>
    <w:p w:rsidR="009B08F9" w:rsidRPr="009B08F9" w:rsidRDefault="009B08F9" w:rsidP="009B08F9">
      <w:pPr>
        <w:rPr>
          <w:rFonts w:ascii="Arial" w:hAnsi="Arial" w:cs="Arial"/>
          <w:b/>
        </w:rPr>
      </w:pPr>
      <w:r w:rsidRPr="009B08F9">
        <w:rPr>
          <w:rFonts w:ascii="Arial" w:hAnsi="Arial" w:cs="Arial"/>
          <w:b/>
        </w:rPr>
        <w:t>Merkblatt zum Erfordernis der wasserrechtlichen Eignungsfeststellung</w:t>
      </w:r>
    </w:p>
    <w:p w:rsidR="009B08F9" w:rsidRPr="009B08F9" w:rsidRDefault="009B08F9" w:rsidP="009B08F9">
      <w:pPr>
        <w:rPr>
          <w:rFonts w:ascii="Arial" w:hAnsi="Arial" w:cs="Arial"/>
        </w:rPr>
      </w:pPr>
      <w:r w:rsidRPr="009B08F9">
        <w:rPr>
          <w:rFonts w:ascii="Arial" w:hAnsi="Arial" w:cs="Arial"/>
        </w:rPr>
        <w:t>gemäß §</w:t>
      </w:r>
      <w:r w:rsidR="00DD3FCF">
        <w:rPr>
          <w:rFonts w:ascii="Arial" w:hAnsi="Arial" w:cs="Arial"/>
        </w:rPr>
        <w:t> </w:t>
      </w:r>
      <w:r w:rsidRPr="009B08F9">
        <w:rPr>
          <w:rFonts w:ascii="Arial" w:hAnsi="Arial" w:cs="Arial"/>
        </w:rPr>
        <w:t>63 Wasserhaushaltsgesetz (WHG) für Anla</w:t>
      </w:r>
      <w:r>
        <w:rPr>
          <w:rFonts w:ascii="Arial" w:hAnsi="Arial" w:cs="Arial"/>
        </w:rPr>
        <w:t>gen zum Umgang mit wassergefähr</w:t>
      </w:r>
      <w:r w:rsidRPr="009B08F9">
        <w:rPr>
          <w:rFonts w:ascii="Arial" w:hAnsi="Arial" w:cs="Arial"/>
        </w:rPr>
        <w:t>denden Stoffen, den erforderlichen Antragsunterlag</w:t>
      </w:r>
      <w:r>
        <w:rPr>
          <w:rFonts w:ascii="Arial" w:hAnsi="Arial" w:cs="Arial"/>
        </w:rPr>
        <w:t>en sowie den bestehenden Ausnah</w:t>
      </w:r>
      <w:r w:rsidRPr="009B08F9">
        <w:rPr>
          <w:rFonts w:ascii="Arial" w:hAnsi="Arial" w:cs="Arial"/>
        </w:rPr>
        <w:t>men</w:t>
      </w:r>
      <w:r w:rsidR="00325CD4">
        <w:rPr>
          <w:rFonts w:ascii="Arial" w:hAnsi="Arial" w:cs="Arial"/>
        </w:rPr>
        <w:t>.</w:t>
      </w:r>
    </w:p>
    <w:p w:rsidR="009B08F9" w:rsidRPr="009B08F9" w:rsidRDefault="009B08F9" w:rsidP="009B08F9">
      <w:pPr>
        <w:rPr>
          <w:rFonts w:ascii="Arial" w:hAnsi="Arial" w:cs="Arial"/>
        </w:rPr>
      </w:pPr>
      <w:r w:rsidRPr="009B08F9">
        <w:rPr>
          <w:rFonts w:ascii="Arial" w:hAnsi="Arial" w:cs="Arial"/>
        </w:rPr>
        <w:t xml:space="preserve">Anlagen zum Lagern, Abfüllen und Umschlagen wassergefährdender Stoffe oder Teile von ihnen dürfen grundsätzlich nur nach wasserrechtlicher Eignungsfeststellung gemäß §63 WHG (Wasserhaushaltsgesetz) </w:t>
      </w:r>
      <w:proofErr w:type="spellStart"/>
      <w:r w:rsidR="002C3B61">
        <w:rPr>
          <w:rFonts w:ascii="Arial" w:hAnsi="Arial" w:cs="Arial"/>
        </w:rPr>
        <w:t>i.V.m</w:t>
      </w:r>
      <w:proofErr w:type="spellEnd"/>
      <w:r w:rsidR="002C3B61">
        <w:rPr>
          <w:rFonts w:ascii="Arial" w:hAnsi="Arial" w:cs="Arial"/>
        </w:rPr>
        <w:t xml:space="preserve">. § 42 </w:t>
      </w:r>
      <w:proofErr w:type="spellStart"/>
      <w:r w:rsidR="002C3B61">
        <w:rPr>
          <w:rFonts w:ascii="Arial" w:hAnsi="Arial" w:cs="Arial"/>
        </w:rPr>
        <w:t>AwSV</w:t>
      </w:r>
      <w:proofErr w:type="spellEnd"/>
      <w:r w:rsidR="002C3B61">
        <w:rPr>
          <w:rFonts w:ascii="Arial" w:hAnsi="Arial" w:cs="Arial"/>
        </w:rPr>
        <w:t xml:space="preserve"> </w:t>
      </w:r>
      <w:r w:rsidRPr="009B08F9">
        <w:rPr>
          <w:rFonts w:ascii="Arial" w:hAnsi="Arial" w:cs="Arial"/>
        </w:rPr>
        <w:t>errichtet, unterhalten und betrieben werden.</w:t>
      </w:r>
      <w:r w:rsidR="00CB7277">
        <w:rPr>
          <w:rFonts w:ascii="Arial" w:hAnsi="Arial" w:cs="Arial"/>
        </w:rPr>
        <w:t xml:space="preserve"> </w:t>
      </w:r>
      <w:r w:rsidR="004536EC">
        <w:rPr>
          <w:rFonts w:ascii="Arial" w:hAnsi="Arial" w:cs="Arial"/>
        </w:rPr>
        <w:t xml:space="preserve">Ausnahmen vom Erfordernis der Eignungsfeststellung regelt </w:t>
      </w:r>
      <w:r w:rsidR="003678C4">
        <w:rPr>
          <w:rFonts w:ascii="Arial" w:hAnsi="Arial" w:cs="Arial"/>
        </w:rPr>
        <w:t>neben dem §</w:t>
      </w:r>
      <w:r w:rsidR="00DD3FCF">
        <w:rPr>
          <w:rFonts w:ascii="Arial" w:hAnsi="Arial" w:cs="Arial"/>
        </w:rPr>
        <w:t> </w:t>
      </w:r>
      <w:r w:rsidR="003678C4">
        <w:rPr>
          <w:rFonts w:ascii="Arial" w:hAnsi="Arial" w:cs="Arial"/>
        </w:rPr>
        <w:t xml:space="preserve">63 Absatz 2 und 3 WHG </w:t>
      </w:r>
      <w:r w:rsidR="00DD3FCF">
        <w:rPr>
          <w:rFonts w:ascii="Arial" w:hAnsi="Arial" w:cs="Arial"/>
        </w:rPr>
        <w:t>der § 41</w:t>
      </w:r>
      <w:r w:rsidR="004536EC">
        <w:rPr>
          <w:rFonts w:ascii="Arial" w:hAnsi="Arial" w:cs="Arial"/>
        </w:rPr>
        <w:t xml:space="preserve"> </w:t>
      </w:r>
      <w:proofErr w:type="spellStart"/>
      <w:r w:rsidR="004536EC">
        <w:rPr>
          <w:rFonts w:ascii="Arial" w:hAnsi="Arial" w:cs="Arial"/>
        </w:rPr>
        <w:t>AwSV</w:t>
      </w:r>
      <w:proofErr w:type="spellEnd"/>
      <w:r w:rsidR="005E4337">
        <w:rPr>
          <w:rFonts w:ascii="Arial" w:hAnsi="Arial" w:cs="Arial"/>
        </w:rPr>
        <w:t xml:space="preserve"> (</w:t>
      </w:r>
      <w:r w:rsidR="005E4337" w:rsidRPr="009B08F9">
        <w:rPr>
          <w:rFonts w:ascii="Arial" w:hAnsi="Arial" w:cs="Arial"/>
        </w:rPr>
        <w:t>Verordnung über Anlagen zum Umgang mit w</w:t>
      </w:r>
      <w:r w:rsidR="005E4337">
        <w:rPr>
          <w:rFonts w:ascii="Arial" w:hAnsi="Arial" w:cs="Arial"/>
        </w:rPr>
        <w:t>assergefährdenden Stoffen vom 18.04</w:t>
      </w:r>
      <w:r w:rsidR="00DD3FCF">
        <w:rPr>
          <w:rFonts w:ascii="Arial" w:hAnsi="Arial" w:cs="Arial"/>
        </w:rPr>
        <w:t>.201</w:t>
      </w:r>
      <w:r w:rsidR="005E4337">
        <w:rPr>
          <w:rFonts w:ascii="Arial" w:hAnsi="Arial" w:cs="Arial"/>
        </w:rPr>
        <w:t>7)</w:t>
      </w:r>
      <w:r w:rsidR="004536EC">
        <w:rPr>
          <w:rFonts w:ascii="Arial" w:hAnsi="Arial" w:cs="Arial"/>
        </w:rPr>
        <w:t>.</w:t>
      </w:r>
      <w:r w:rsidR="002C3B61">
        <w:rPr>
          <w:rFonts w:ascii="Arial" w:hAnsi="Arial" w:cs="Arial"/>
        </w:rPr>
        <w:t xml:space="preserve"> </w:t>
      </w:r>
      <w:r w:rsidR="006A3E49">
        <w:rPr>
          <w:rFonts w:ascii="Arial" w:hAnsi="Arial" w:cs="Arial"/>
        </w:rPr>
        <w:t xml:space="preserve">Insbesondere wird in diesem Zusammenhang auf die erforderlichen Nachweise </w:t>
      </w:r>
      <w:r w:rsidR="002C3B61" w:rsidRPr="002C3B61">
        <w:rPr>
          <w:rFonts w:ascii="Arial" w:hAnsi="Arial" w:cs="Arial"/>
          <w:u w:val="single"/>
        </w:rPr>
        <w:t>aller Anlagenteile</w:t>
      </w:r>
      <w:r w:rsidR="002C3B61">
        <w:rPr>
          <w:rFonts w:ascii="Arial" w:hAnsi="Arial" w:cs="Arial"/>
        </w:rPr>
        <w:t xml:space="preserve"> </w:t>
      </w:r>
      <w:r w:rsidR="006A3E49">
        <w:rPr>
          <w:rFonts w:ascii="Arial" w:hAnsi="Arial" w:cs="Arial"/>
        </w:rPr>
        <w:t>sowie das Sachverständigen-Gutachten (§ 41 Abs.2</w:t>
      </w:r>
      <w:r w:rsidR="008F5794">
        <w:rPr>
          <w:rFonts w:ascii="Arial" w:hAnsi="Arial" w:cs="Arial"/>
        </w:rPr>
        <w:t>-3</w:t>
      </w:r>
      <w:r w:rsidR="006A3E49">
        <w:rPr>
          <w:rFonts w:ascii="Arial" w:hAnsi="Arial" w:cs="Arial"/>
        </w:rPr>
        <w:t xml:space="preserve"> </w:t>
      </w:r>
      <w:proofErr w:type="spellStart"/>
      <w:r w:rsidR="006A3E49">
        <w:rPr>
          <w:rFonts w:ascii="Arial" w:hAnsi="Arial" w:cs="Arial"/>
        </w:rPr>
        <w:t>AwSV</w:t>
      </w:r>
      <w:proofErr w:type="spellEnd"/>
      <w:r w:rsidR="006A3E49">
        <w:rPr>
          <w:rFonts w:ascii="Arial" w:hAnsi="Arial" w:cs="Arial"/>
        </w:rPr>
        <w:t>) hingewiesen.</w:t>
      </w:r>
    </w:p>
    <w:p w:rsidR="009B08F9" w:rsidRPr="009B08F9" w:rsidRDefault="009B08F9" w:rsidP="009B08F9">
      <w:pPr>
        <w:rPr>
          <w:rFonts w:ascii="Arial" w:hAnsi="Arial" w:cs="Arial"/>
        </w:rPr>
      </w:pPr>
      <w:r w:rsidRPr="009B08F9">
        <w:rPr>
          <w:rFonts w:ascii="Arial" w:hAnsi="Arial" w:cs="Arial"/>
        </w:rPr>
        <w:t>Wassergefährdende Stoffe sind feste, flüssige und gasförmige Stoffe, die geeignet sind, nachhaltig die physikalische, chemische oder biologische Beschaffenheit des Wassers nachteilig zu verändern (z. B. Heizöl, Dieselkraftsto</w:t>
      </w:r>
      <w:r>
        <w:rPr>
          <w:rFonts w:ascii="Arial" w:hAnsi="Arial" w:cs="Arial"/>
        </w:rPr>
        <w:t>ff, Benzin, gebrauchte und unge</w:t>
      </w:r>
      <w:r w:rsidRPr="009B08F9">
        <w:rPr>
          <w:rFonts w:ascii="Arial" w:hAnsi="Arial" w:cs="Arial"/>
        </w:rPr>
        <w:t xml:space="preserve">brauchte Motoren- und Getriebeöle, Lacke, Lösungsmittel, Säuren, Laugen u. a.). Diese werden nach </w:t>
      </w:r>
      <w:r w:rsidR="00DD3FCF">
        <w:rPr>
          <w:rFonts w:ascii="Arial" w:hAnsi="Arial" w:cs="Arial"/>
        </w:rPr>
        <w:t>§ </w:t>
      </w:r>
      <w:r w:rsidR="004536EC">
        <w:rPr>
          <w:rFonts w:ascii="Arial" w:hAnsi="Arial" w:cs="Arial"/>
        </w:rPr>
        <w:t xml:space="preserve">3 </w:t>
      </w:r>
      <w:r w:rsidR="00DD3FCF">
        <w:rPr>
          <w:rFonts w:ascii="Arial" w:hAnsi="Arial" w:cs="Arial"/>
        </w:rPr>
        <w:t>Abs. 1</w:t>
      </w:r>
      <w:r w:rsidRPr="009B08F9">
        <w:rPr>
          <w:rFonts w:ascii="Arial" w:hAnsi="Arial" w:cs="Arial"/>
        </w:rPr>
        <w:t xml:space="preserve"> </w:t>
      </w:r>
      <w:proofErr w:type="spellStart"/>
      <w:r w:rsidR="004536EC">
        <w:rPr>
          <w:rFonts w:ascii="Arial" w:hAnsi="Arial" w:cs="Arial"/>
        </w:rPr>
        <w:t>AwSV</w:t>
      </w:r>
      <w:proofErr w:type="spellEnd"/>
      <w:r>
        <w:rPr>
          <w:rFonts w:ascii="Arial" w:hAnsi="Arial" w:cs="Arial"/>
        </w:rPr>
        <w:t xml:space="preserve"> in </w:t>
      </w:r>
      <w:r w:rsidR="004536EC">
        <w:rPr>
          <w:rFonts w:ascii="Arial" w:hAnsi="Arial" w:cs="Arial"/>
        </w:rPr>
        <w:t xml:space="preserve">die </w:t>
      </w:r>
      <w:r>
        <w:rPr>
          <w:rFonts w:ascii="Arial" w:hAnsi="Arial" w:cs="Arial"/>
        </w:rPr>
        <w:t>drei Was</w:t>
      </w:r>
      <w:r w:rsidRPr="009B08F9">
        <w:rPr>
          <w:rFonts w:ascii="Arial" w:hAnsi="Arial" w:cs="Arial"/>
        </w:rPr>
        <w:t xml:space="preserve">sergefährdungsklassen </w:t>
      </w:r>
      <w:r w:rsidR="00843293">
        <w:rPr>
          <w:rFonts w:ascii="Arial" w:hAnsi="Arial" w:cs="Arial"/>
        </w:rPr>
        <w:t xml:space="preserve">(WGK 1-3) </w:t>
      </w:r>
      <w:r w:rsidR="004536EC">
        <w:rPr>
          <w:rFonts w:ascii="Arial" w:hAnsi="Arial" w:cs="Arial"/>
        </w:rPr>
        <w:t xml:space="preserve">sowie in allgemein wassergefährdende Stoffe </w:t>
      </w:r>
      <w:r w:rsidRPr="009B08F9">
        <w:rPr>
          <w:rFonts w:ascii="Arial" w:hAnsi="Arial" w:cs="Arial"/>
        </w:rPr>
        <w:t>eingeteilt.</w:t>
      </w:r>
    </w:p>
    <w:p w:rsidR="009B08F9" w:rsidRPr="009B08F9" w:rsidRDefault="009B08F9" w:rsidP="009B08F9">
      <w:pPr>
        <w:rPr>
          <w:rFonts w:ascii="Arial" w:hAnsi="Arial" w:cs="Arial"/>
        </w:rPr>
      </w:pPr>
      <w:r w:rsidRPr="009B08F9">
        <w:rPr>
          <w:rFonts w:ascii="Arial" w:hAnsi="Arial" w:cs="Arial"/>
        </w:rPr>
        <w:t xml:space="preserve">Bei der wasserrechtlichen Eignungsfeststellung handelt es sich in der Regel um eine </w:t>
      </w:r>
      <w:r w:rsidRPr="004536EC">
        <w:rPr>
          <w:rFonts w:ascii="Arial" w:hAnsi="Arial" w:cs="Arial"/>
          <w:b/>
        </w:rPr>
        <w:t>behördliche Vorkontrolle</w:t>
      </w:r>
      <w:r w:rsidR="00537C76">
        <w:rPr>
          <w:rFonts w:ascii="Arial" w:hAnsi="Arial" w:cs="Arial"/>
        </w:rPr>
        <w:t xml:space="preserve"> im Einzelfall </w:t>
      </w:r>
      <w:r w:rsidRPr="009B08F9">
        <w:rPr>
          <w:rFonts w:ascii="Arial" w:hAnsi="Arial" w:cs="Arial"/>
        </w:rPr>
        <w:t>in Bezug auf die wasserrechtlichen Belange für die Errichtung bzw. Änderung und den Betrieb einer Anlage zum Umgang mit wassergefährdenden Stoffen.</w:t>
      </w:r>
    </w:p>
    <w:p w:rsidR="009B08F9" w:rsidRPr="009B08F9" w:rsidRDefault="00DF71B9" w:rsidP="009B08F9">
      <w:pPr>
        <w:rPr>
          <w:rFonts w:ascii="Arial" w:hAnsi="Arial" w:cs="Arial"/>
        </w:rPr>
      </w:pPr>
      <w:r>
        <w:rPr>
          <w:rFonts w:ascii="Arial" w:hAnsi="Arial" w:cs="Arial"/>
        </w:rPr>
        <w:t>Die</w:t>
      </w:r>
      <w:r w:rsidR="009B08F9" w:rsidRPr="009B08F9">
        <w:rPr>
          <w:rFonts w:ascii="Arial" w:hAnsi="Arial" w:cs="Arial"/>
        </w:rPr>
        <w:t xml:space="preserve"> </w:t>
      </w:r>
      <w:proofErr w:type="spellStart"/>
      <w:r w:rsidR="003678C4">
        <w:rPr>
          <w:rFonts w:ascii="Arial" w:hAnsi="Arial" w:cs="Arial"/>
        </w:rPr>
        <w:t>AwSV</w:t>
      </w:r>
      <w:proofErr w:type="spellEnd"/>
      <w:r w:rsidR="009B08F9" w:rsidRPr="009B08F9">
        <w:rPr>
          <w:rFonts w:ascii="Arial" w:hAnsi="Arial" w:cs="Arial"/>
        </w:rPr>
        <w:t xml:space="preserve"> regelt weiterhin zum Verfahren, d</w:t>
      </w:r>
      <w:r w:rsidR="009B08F9">
        <w:rPr>
          <w:rFonts w:ascii="Arial" w:hAnsi="Arial" w:cs="Arial"/>
        </w:rPr>
        <w:t>en Voraussetzungen sowie dem Um</w:t>
      </w:r>
      <w:r w:rsidR="009B08F9" w:rsidRPr="009B08F9">
        <w:rPr>
          <w:rFonts w:ascii="Arial" w:hAnsi="Arial" w:cs="Arial"/>
        </w:rPr>
        <w:t>fang der Eignungsfeststellung folgendes:</w:t>
      </w:r>
    </w:p>
    <w:p w:rsidR="00DD3FCF" w:rsidRDefault="009B08F9" w:rsidP="009B08F9">
      <w:pPr>
        <w:rPr>
          <w:rFonts w:ascii="Arial" w:hAnsi="Arial" w:cs="Arial"/>
        </w:rPr>
      </w:pPr>
      <w:r w:rsidRPr="009B08F9">
        <w:rPr>
          <w:rFonts w:ascii="Arial" w:hAnsi="Arial" w:cs="Arial"/>
        </w:rPr>
        <w:t>Die Eignungsfeststellung wird auf Antrag für eine einzelne Anlage erteilt. Dem Antrag sind die erforderlichen Unterlagen und Pläne beizufügen.</w:t>
      </w:r>
      <w:r w:rsidR="00DD3FCF">
        <w:rPr>
          <w:rFonts w:ascii="Arial" w:hAnsi="Arial" w:cs="Arial"/>
        </w:rPr>
        <w:t xml:space="preserve"> § 42 </w:t>
      </w:r>
      <w:proofErr w:type="spellStart"/>
      <w:r w:rsidR="00DD3FCF">
        <w:rPr>
          <w:rFonts w:ascii="Arial" w:hAnsi="Arial" w:cs="Arial"/>
        </w:rPr>
        <w:t>AwSV</w:t>
      </w:r>
      <w:proofErr w:type="spellEnd"/>
      <w:r w:rsidR="00DD3FCF">
        <w:rPr>
          <w:rFonts w:ascii="Arial" w:hAnsi="Arial" w:cs="Arial"/>
        </w:rPr>
        <w:t xml:space="preserve"> trifft Regelungen zu den Antragsunterlagen für die Eignungsfeststellung. </w:t>
      </w:r>
    </w:p>
    <w:p w:rsidR="00DD3FCF" w:rsidRPr="009B08F9" w:rsidRDefault="00DD3FCF" w:rsidP="009B08F9">
      <w:pPr>
        <w:rPr>
          <w:rFonts w:ascii="Arial" w:hAnsi="Arial" w:cs="Arial"/>
        </w:rPr>
      </w:pPr>
      <w:r w:rsidRPr="00DD3FCF">
        <w:rPr>
          <w:rFonts w:ascii="Arial" w:hAnsi="Arial" w:cs="Arial"/>
        </w:rPr>
        <w:t xml:space="preserve">Eine Eignungsfeststellung wird während eines Genehmigungsverfahrens mit Konzentrationswirkung (z.B. BImSchG) </w:t>
      </w:r>
      <w:proofErr w:type="spellStart"/>
      <w:r w:rsidRPr="00DD3FCF">
        <w:rPr>
          <w:rFonts w:ascii="Arial" w:hAnsi="Arial" w:cs="Arial"/>
        </w:rPr>
        <w:t>einkonzentriert</w:t>
      </w:r>
      <w:proofErr w:type="spellEnd"/>
      <w:r w:rsidRPr="00DD3FCF">
        <w:rPr>
          <w:rFonts w:ascii="Arial" w:hAnsi="Arial" w:cs="Arial"/>
        </w:rPr>
        <w:t>. Die erforderlichen Unterlagen für eine Eignungsfeststellung sind den Antragsunterlagen (</w:t>
      </w:r>
      <w:r w:rsidR="002C3B61">
        <w:rPr>
          <w:rFonts w:ascii="Arial" w:hAnsi="Arial" w:cs="Arial"/>
        </w:rPr>
        <w:t xml:space="preserve">z.B. </w:t>
      </w:r>
      <w:r w:rsidRPr="00DD3FCF">
        <w:rPr>
          <w:rFonts w:ascii="Arial" w:hAnsi="Arial" w:cs="Arial"/>
        </w:rPr>
        <w:t>nach BImSchG) beizufügen.</w:t>
      </w:r>
    </w:p>
    <w:p w:rsidR="009B08F9" w:rsidRPr="009B08F9" w:rsidRDefault="009B08F9" w:rsidP="009B08F9">
      <w:pPr>
        <w:rPr>
          <w:rFonts w:ascii="Arial" w:hAnsi="Arial" w:cs="Arial"/>
        </w:rPr>
      </w:pPr>
      <w:r w:rsidRPr="009B08F9">
        <w:rPr>
          <w:rFonts w:ascii="Arial" w:hAnsi="Arial" w:cs="Arial"/>
        </w:rPr>
        <w:t>Die Eignungsfeststellung darf nur erteilt werden, wenn mindestens die Anforderungen des §</w:t>
      </w:r>
      <w:r w:rsidR="009E3357">
        <w:rPr>
          <w:rFonts w:ascii="Arial" w:hAnsi="Arial" w:cs="Arial"/>
        </w:rPr>
        <w:t>§</w:t>
      </w:r>
      <w:r w:rsidR="00DD3FCF">
        <w:rPr>
          <w:rFonts w:ascii="Arial" w:hAnsi="Arial" w:cs="Arial"/>
        </w:rPr>
        <w:t> </w:t>
      </w:r>
      <w:r w:rsidR="003678C4">
        <w:rPr>
          <w:rFonts w:ascii="Arial" w:hAnsi="Arial" w:cs="Arial"/>
        </w:rPr>
        <w:t>17</w:t>
      </w:r>
      <w:r w:rsidR="00DD3FCF">
        <w:rPr>
          <w:rFonts w:ascii="Arial" w:hAnsi="Arial" w:cs="Arial"/>
        </w:rPr>
        <w:t>-24 (Allgemeine Anforderungen) und §§ 25</w:t>
      </w:r>
      <w:r w:rsidR="009E3357" w:rsidRPr="00DD3FCF">
        <w:rPr>
          <w:rFonts w:ascii="Arial" w:hAnsi="Arial" w:cs="Arial"/>
        </w:rPr>
        <w:t>-38</w:t>
      </w:r>
      <w:r w:rsidR="00DD3FCF">
        <w:rPr>
          <w:rFonts w:ascii="Arial" w:hAnsi="Arial" w:cs="Arial"/>
        </w:rPr>
        <w:t xml:space="preserve"> (Besondere Anforderungen)</w:t>
      </w:r>
      <w:r w:rsidR="003678C4" w:rsidRPr="009E3357">
        <w:rPr>
          <w:rFonts w:ascii="Arial" w:hAnsi="Arial" w:cs="Arial"/>
          <w:color w:val="FF0000"/>
        </w:rPr>
        <w:t xml:space="preserve"> </w:t>
      </w:r>
      <w:proofErr w:type="spellStart"/>
      <w:r w:rsidR="003678C4">
        <w:rPr>
          <w:rFonts w:ascii="Arial" w:hAnsi="Arial" w:cs="Arial"/>
        </w:rPr>
        <w:t>AwSV</w:t>
      </w:r>
      <w:proofErr w:type="spellEnd"/>
      <w:r w:rsidRPr="009B08F9">
        <w:rPr>
          <w:rFonts w:ascii="Arial" w:hAnsi="Arial" w:cs="Arial"/>
        </w:rPr>
        <w:t xml:space="preserve"> erfüllt werden oder eine gleichwertige Sicherheit nachgewiesen wird.</w:t>
      </w:r>
    </w:p>
    <w:p w:rsidR="00DD3FCF" w:rsidRDefault="009B08F9" w:rsidP="009B08F9">
      <w:pPr>
        <w:rPr>
          <w:rFonts w:ascii="Arial" w:hAnsi="Arial" w:cs="Arial"/>
        </w:rPr>
      </w:pPr>
      <w:r w:rsidRPr="009B08F9">
        <w:rPr>
          <w:rFonts w:ascii="Arial" w:hAnsi="Arial" w:cs="Arial"/>
        </w:rPr>
        <w:t xml:space="preserve">Ein Antrag auf Eignungsfeststellung gem. § 63 WHG ist rechtzeitig </w:t>
      </w:r>
      <w:r w:rsidR="002C3B61">
        <w:rPr>
          <w:rFonts w:ascii="Arial" w:hAnsi="Arial" w:cs="Arial"/>
        </w:rPr>
        <w:t xml:space="preserve">und vollständig </w:t>
      </w:r>
      <w:r w:rsidRPr="009B08F9">
        <w:rPr>
          <w:rFonts w:ascii="Arial" w:hAnsi="Arial" w:cs="Arial"/>
        </w:rPr>
        <w:t>– vor Errichtung bzw. Änderung der Anlage – der zuständigen Behörde vorzulegen</w:t>
      </w:r>
      <w:r w:rsidR="00DD3FCF">
        <w:rPr>
          <w:rFonts w:ascii="Arial" w:hAnsi="Arial" w:cs="Arial"/>
        </w:rPr>
        <w:t>.</w:t>
      </w:r>
    </w:p>
    <w:p w:rsidR="009B08F9" w:rsidRPr="009B08F9" w:rsidRDefault="009B08F9" w:rsidP="009B08F9">
      <w:pPr>
        <w:rPr>
          <w:rFonts w:ascii="Arial" w:hAnsi="Arial" w:cs="Arial"/>
        </w:rPr>
      </w:pPr>
      <w:r w:rsidRPr="009B08F9">
        <w:rPr>
          <w:rFonts w:ascii="Arial" w:hAnsi="Arial" w:cs="Arial"/>
        </w:rPr>
        <w:lastRenderedPageBreak/>
        <w:t>Folgende Antragsunterlagen (in 3-facher Ausfertigung</w:t>
      </w:r>
      <w:r w:rsidR="00537C76">
        <w:rPr>
          <w:rFonts w:ascii="Arial" w:hAnsi="Arial" w:cs="Arial"/>
        </w:rPr>
        <w:t xml:space="preserve"> schriftlich, 1-fach elektronisch</w:t>
      </w:r>
      <w:r w:rsidRPr="009B08F9">
        <w:rPr>
          <w:rFonts w:ascii="Arial" w:hAnsi="Arial" w:cs="Arial"/>
        </w:rPr>
        <w:t>) sind hierzu erforderlich:</w:t>
      </w:r>
    </w:p>
    <w:p w:rsidR="009B08F9" w:rsidRPr="003678C4" w:rsidRDefault="00AF74F5" w:rsidP="009B08F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3678C4">
        <w:rPr>
          <w:rFonts w:ascii="Arial" w:hAnsi="Arial" w:cs="Arial"/>
        </w:rPr>
        <w:t xml:space="preserve">Schriftlicher </w:t>
      </w:r>
      <w:r w:rsidR="009B08F9" w:rsidRPr="003678C4">
        <w:rPr>
          <w:rFonts w:ascii="Arial" w:hAnsi="Arial" w:cs="Arial"/>
        </w:rPr>
        <w:t xml:space="preserve">Antrag </w:t>
      </w:r>
      <w:r w:rsidR="00C92135">
        <w:rPr>
          <w:rFonts w:ascii="Arial" w:hAnsi="Arial" w:cs="Arial"/>
        </w:rPr>
        <w:t>(formlos). Zusätzlich sind die Formulare 8.1 bis 8.5 aus den BImSchG-Anträgen zu verwenden.</w:t>
      </w:r>
    </w:p>
    <w:p w:rsidR="009B08F9" w:rsidRDefault="009B08F9" w:rsidP="009B08F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9B08F9">
        <w:rPr>
          <w:rFonts w:ascii="Arial" w:hAnsi="Arial" w:cs="Arial"/>
        </w:rPr>
        <w:t>Benennung der Anlage</w:t>
      </w:r>
      <w:r w:rsidR="00EC4651">
        <w:rPr>
          <w:rFonts w:ascii="Arial" w:hAnsi="Arial" w:cs="Arial"/>
        </w:rPr>
        <w:t xml:space="preserve"> inkl. Abgrenzung der Anlage (§ 14 </w:t>
      </w:r>
      <w:proofErr w:type="spellStart"/>
      <w:r w:rsidR="00EC4651">
        <w:rPr>
          <w:rFonts w:ascii="Arial" w:hAnsi="Arial" w:cs="Arial"/>
        </w:rPr>
        <w:t>AwSV</w:t>
      </w:r>
      <w:proofErr w:type="spellEnd"/>
      <w:r w:rsidR="00EC4651">
        <w:rPr>
          <w:rFonts w:ascii="Arial" w:hAnsi="Arial" w:cs="Arial"/>
        </w:rPr>
        <w:t>)</w:t>
      </w:r>
      <w:r w:rsidRPr="009B08F9">
        <w:rPr>
          <w:rFonts w:ascii="Arial" w:hAnsi="Arial" w:cs="Arial"/>
        </w:rPr>
        <w:t>, Standort, Betreiber, Eige</w:t>
      </w:r>
      <w:r>
        <w:rPr>
          <w:rFonts w:ascii="Arial" w:hAnsi="Arial" w:cs="Arial"/>
        </w:rPr>
        <w:t xml:space="preserve">ntümer des Grundstückes, </w:t>
      </w:r>
      <w:r w:rsidR="002043CD" w:rsidRPr="003678C4">
        <w:rPr>
          <w:rFonts w:ascii="Arial" w:hAnsi="Arial" w:cs="Arial"/>
        </w:rPr>
        <w:t>Planer der Anlage;</w:t>
      </w:r>
      <w:r w:rsidR="002043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Verant</w:t>
      </w:r>
      <w:r w:rsidRPr="009B08F9">
        <w:rPr>
          <w:rFonts w:ascii="Arial" w:hAnsi="Arial" w:cs="Arial"/>
        </w:rPr>
        <w:t>wortlicher für den Betrieb der Anlage</w:t>
      </w:r>
    </w:p>
    <w:p w:rsidR="002043CD" w:rsidRDefault="00AF74F5" w:rsidP="002043CD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2043CD">
        <w:rPr>
          <w:rFonts w:ascii="Arial" w:hAnsi="Arial" w:cs="Arial"/>
        </w:rPr>
        <w:t xml:space="preserve">Detaillierte </w:t>
      </w:r>
      <w:r w:rsidR="009B08F9" w:rsidRPr="002043CD">
        <w:rPr>
          <w:rFonts w:ascii="Arial" w:hAnsi="Arial" w:cs="Arial"/>
        </w:rPr>
        <w:t>Betriebs- und Anlagenbeschreibung</w:t>
      </w:r>
      <w:r w:rsidRPr="002043CD">
        <w:rPr>
          <w:rFonts w:ascii="Arial" w:hAnsi="Arial" w:cs="Arial"/>
        </w:rPr>
        <w:t xml:space="preserve"> (Behältergröße/-volumen, Au</w:t>
      </w:r>
      <w:r w:rsidR="0046621B" w:rsidRPr="002043CD">
        <w:rPr>
          <w:rFonts w:ascii="Arial" w:hAnsi="Arial" w:cs="Arial"/>
        </w:rPr>
        <w:t>f</w:t>
      </w:r>
      <w:r w:rsidRPr="002043CD">
        <w:rPr>
          <w:rFonts w:ascii="Arial" w:hAnsi="Arial" w:cs="Arial"/>
        </w:rPr>
        <w:t>stellung der Behälter –ober-/unterirdisch-, Ausführung Abfüllplätze, Sicherheitseinrichtungen, Entwässerung, etc</w:t>
      </w:r>
      <w:r w:rsidRPr="003678C4">
        <w:rPr>
          <w:rFonts w:ascii="Arial" w:hAnsi="Arial" w:cs="Arial"/>
        </w:rPr>
        <w:t xml:space="preserve">.) </w:t>
      </w:r>
      <w:r w:rsidR="00537C76" w:rsidRPr="003678C4">
        <w:rPr>
          <w:rFonts w:ascii="Arial" w:hAnsi="Arial" w:cs="Arial"/>
        </w:rPr>
        <w:t>aller</w:t>
      </w:r>
      <w:r w:rsidRPr="003678C4">
        <w:rPr>
          <w:rFonts w:ascii="Arial" w:hAnsi="Arial" w:cs="Arial"/>
        </w:rPr>
        <w:t xml:space="preserve"> Anlagenteile und/oder der Anlage</w:t>
      </w:r>
      <w:r w:rsidR="002043CD" w:rsidRPr="003678C4">
        <w:rPr>
          <w:rFonts w:ascii="Arial" w:hAnsi="Arial" w:cs="Arial"/>
        </w:rPr>
        <w:t xml:space="preserve">, für die eine wasserrechtliche Eignungsfeststellung beantragt wird. </w:t>
      </w:r>
    </w:p>
    <w:p w:rsidR="00EC4651" w:rsidRPr="003678C4" w:rsidRDefault="00EC4651" w:rsidP="002043CD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Zuordnung zur immissionsschutzrechtlichen Anlage (Betriebseinheit; wenn möglich)</w:t>
      </w:r>
    </w:p>
    <w:p w:rsidR="009B08F9" w:rsidRPr="009E3357" w:rsidRDefault="002043CD" w:rsidP="009B08F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9E3357">
        <w:rPr>
          <w:rFonts w:ascii="Arial" w:hAnsi="Arial" w:cs="Arial"/>
        </w:rPr>
        <w:t xml:space="preserve">Begründung, warum für diese Anlage/Anlagenteile keine Bauteile mit </w:t>
      </w:r>
      <w:r w:rsidR="002C3B61">
        <w:rPr>
          <w:rFonts w:ascii="Arial" w:hAnsi="Arial" w:cs="Arial"/>
        </w:rPr>
        <w:t xml:space="preserve">z.B. </w:t>
      </w:r>
      <w:r w:rsidRPr="009E3357">
        <w:rPr>
          <w:rFonts w:ascii="Arial" w:hAnsi="Arial" w:cs="Arial"/>
        </w:rPr>
        <w:t xml:space="preserve">allgemein bauaufsichtlicher Zulassung </w:t>
      </w:r>
      <w:r w:rsidR="002C3B61">
        <w:rPr>
          <w:rFonts w:ascii="Arial" w:hAnsi="Arial" w:cs="Arial"/>
        </w:rPr>
        <w:t xml:space="preserve">oder CE-Kennzeichnung </w:t>
      </w:r>
      <w:r w:rsidRPr="009E3357">
        <w:rPr>
          <w:rFonts w:ascii="Arial" w:hAnsi="Arial" w:cs="Arial"/>
        </w:rPr>
        <w:t>eingesetzt werden.</w:t>
      </w:r>
    </w:p>
    <w:p w:rsidR="002043CD" w:rsidRPr="009E3357" w:rsidRDefault="002043CD" w:rsidP="009B08F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9E3357">
        <w:rPr>
          <w:rFonts w:ascii="Arial" w:hAnsi="Arial" w:cs="Arial"/>
        </w:rPr>
        <w:t>Begründung, warum die zur Eignungsfeststellung vorgesehenen Bauteile für den vorgesehenen Verwendungszweck geeignet sind (chemische, thermische und mechanische Beständigkeit)</w:t>
      </w:r>
    </w:p>
    <w:p w:rsidR="0046621B" w:rsidRPr="009B08F9" w:rsidRDefault="0046621B" w:rsidP="009B08F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Beschreibung der Auffangvorrichtungen, Berechnung des Auffangvolumens</w:t>
      </w:r>
    </w:p>
    <w:p w:rsidR="009B08F9" w:rsidRPr="009B08F9" w:rsidRDefault="009B08F9" w:rsidP="009B08F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9B08F9">
        <w:rPr>
          <w:rFonts w:ascii="Arial" w:hAnsi="Arial" w:cs="Arial"/>
        </w:rPr>
        <w:t>Auflistung der in der Anlage befindlichen wassergefährdenden Stoffe mit Mengen-angabe</w:t>
      </w:r>
      <w:r w:rsidR="00C92135">
        <w:rPr>
          <w:rFonts w:ascii="Arial" w:hAnsi="Arial" w:cs="Arial"/>
        </w:rPr>
        <w:t>/Volumina</w:t>
      </w:r>
      <w:r w:rsidRPr="009B08F9">
        <w:rPr>
          <w:rFonts w:ascii="Arial" w:hAnsi="Arial" w:cs="Arial"/>
        </w:rPr>
        <w:t xml:space="preserve"> und Angabe ihrer Temperatur</w:t>
      </w:r>
      <w:r w:rsidR="007A4544">
        <w:rPr>
          <w:rFonts w:ascii="Arial" w:hAnsi="Arial" w:cs="Arial"/>
        </w:rPr>
        <w:t>/Prozess</w:t>
      </w:r>
      <w:r w:rsidR="00C92135">
        <w:rPr>
          <w:rFonts w:ascii="Arial" w:hAnsi="Arial" w:cs="Arial"/>
        </w:rPr>
        <w:t>temperatur</w:t>
      </w:r>
    </w:p>
    <w:p w:rsidR="009B08F9" w:rsidRPr="009B08F9" w:rsidRDefault="009B08F9" w:rsidP="009B08F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9B08F9">
        <w:rPr>
          <w:rFonts w:ascii="Arial" w:hAnsi="Arial" w:cs="Arial"/>
        </w:rPr>
        <w:t>EG-Sicherheitsdatenblätter der wassergefährdenden</w:t>
      </w:r>
      <w:r>
        <w:rPr>
          <w:rFonts w:ascii="Arial" w:hAnsi="Arial" w:cs="Arial"/>
        </w:rPr>
        <w:t xml:space="preserve"> Stoffe mit Angabe der Wasserge</w:t>
      </w:r>
      <w:r w:rsidRPr="009B08F9">
        <w:rPr>
          <w:rFonts w:ascii="Arial" w:hAnsi="Arial" w:cs="Arial"/>
        </w:rPr>
        <w:t>fährdungsklasse</w:t>
      </w:r>
    </w:p>
    <w:p w:rsidR="009B08F9" w:rsidRPr="009B08F9" w:rsidRDefault="009B08F9" w:rsidP="009B08F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9B08F9">
        <w:rPr>
          <w:rFonts w:ascii="Arial" w:hAnsi="Arial" w:cs="Arial"/>
        </w:rPr>
        <w:t>Zur Beurteilung der Anlage erforderliche Pläne – z. B. Lagepläne Maßstab 1:15.000 und Maßstab 1:500, Aufstellungsplan, Bauzeichnungen, Rohrleitungsplan, Fließ-schemata, MSR-Pläne, Entwässerungsplan</w:t>
      </w:r>
    </w:p>
    <w:p w:rsidR="009B08F9" w:rsidRPr="009B08F9" w:rsidRDefault="009B08F9" w:rsidP="009B08F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9B08F9">
        <w:rPr>
          <w:rFonts w:ascii="Arial" w:hAnsi="Arial" w:cs="Arial"/>
        </w:rPr>
        <w:t xml:space="preserve">Beständigkeits- und Dichtheitsnachweise für die verwendeten Werkstoffe bzw. Bau-stoffe der Anlagenteile </w:t>
      </w:r>
      <w:r w:rsidR="002043CD">
        <w:rPr>
          <w:rFonts w:ascii="Arial" w:hAnsi="Arial" w:cs="Arial"/>
        </w:rPr>
        <w:t>(Laborberichte, sonstige Nachweise, etc.)</w:t>
      </w:r>
      <w:r w:rsidR="008F5794">
        <w:rPr>
          <w:rFonts w:ascii="Arial" w:hAnsi="Arial" w:cs="Arial"/>
        </w:rPr>
        <w:t xml:space="preserve"> sowie ein Funktionsnachweis der Sicherheitseinrichtungen/Schutzvorkehrungen</w:t>
      </w:r>
    </w:p>
    <w:p w:rsidR="0046621B" w:rsidRPr="0046621B" w:rsidRDefault="009B08F9" w:rsidP="0046621B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9B08F9">
        <w:rPr>
          <w:rFonts w:ascii="Arial" w:hAnsi="Arial" w:cs="Arial"/>
        </w:rPr>
        <w:t>Bereits bestehende Genehmigungen nach Bau</w:t>
      </w:r>
      <w:r>
        <w:rPr>
          <w:rFonts w:ascii="Arial" w:hAnsi="Arial" w:cs="Arial"/>
        </w:rPr>
        <w:t>recht, Gewerberecht, Immission</w:t>
      </w:r>
      <w:r w:rsidRPr="009B08F9">
        <w:rPr>
          <w:rFonts w:ascii="Arial" w:hAnsi="Arial" w:cs="Arial"/>
        </w:rPr>
        <w:t>s</w:t>
      </w:r>
      <w:r w:rsidR="0046621B">
        <w:rPr>
          <w:rFonts w:ascii="Arial" w:hAnsi="Arial" w:cs="Arial"/>
        </w:rPr>
        <w:t>s</w:t>
      </w:r>
      <w:r w:rsidRPr="009B08F9">
        <w:rPr>
          <w:rFonts w:ascii="Arial" w:hAnsi="Arial" w:cs="Arial"/>
        </w:rPr>
        <w:t>chutzrecht</w:t>
      </w:r>
      <w:r w:rsidR="0046621B">
        <w:rPr>
          <w:rFonts w:ascii="Arial" w:hAnsi="Arial" w:cs="Arial"/>
        </w:rPr>
        <w:t>, etc.</w:t>
      </w:r>
    </w:p>
    <w:p w:rsidR="009B08F9" w:rsidRPr="009B08F9" w:rsidRDefault="009B08F9" w:rsidP="009B08F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9B08F9">
        <w:rPr>
          <w:rFonts w:ascii="Arial" w:hAnsi="Arial" w:cs="Arial"/>
        </w:rPr>
        <w:t>Prüfbescheide/Prüfzeugnisse wasserrechtlicher, arbe</w:t>
      </w:r>
      <w:r>
        <w:rPr>
          <w:rFonts w:ascii="Arial" w:hAnsi="Arial" w:cs="Arial"/>
        </w:rPr>
        <w:t>itsschutzrechtlicher oder immis</w:t>
      </w:r>
      <w:r w:rsidRPr="009B08F9">
        <w:rPr>
          <w:rFonts w:ascii="Arial" w:hAnsi="Arial" w:cs="Arial"/>
        </w:rPr>
        <w:t>sionsschutzrechtlicher Bauartzulassungen, Beschei</w:t>
      </w:r>
      <w:r>
        <w:rPr>
          <w:rFonts w:ascii="Arial" w:hAnsi="Arial" w:cs="Arial"/>
        </w:rPr>
        <w:t>de/Prüfzeugnisse zu bauaufsicht</w:t>
      </w:r>
      <w:r w:rsidRPr="009B08F9">
        <w:rPr>
          <w:rFonts w:ascii="Arial" w:hAnsi="Arial" w:cs="Arial"/>
        </w:rPr>
        <w:t>lichen Zulassungen für bestimmte Anlagenteile</w:t>
      </w:r>
      <w:r w:rsidR="00EC4651">
        <w:rPr>
          <w:rFonts w:ascii="Arial" w:hAnsi="Arial" w:cs="Arial"/>
        </w:rPr>
        <w:t xml:space="preserve">, CE-Kennzeichen oder Zulassungen nach gefahrgutrechtlichen Vorschriften, </w:t>
      </w:r>
      <w:r w:rsidR="00EC4651" w:rsidRPr="00EC4651">
        <w:rPr>
          <w:rFonts w:ascii="Arial" w:hAnsi="Arial" w:cs="Arial"/>
        </w:rPr>
        <w:t xml:space="preserve">Zertifikat einer für ein Schweißverfahren zugelassenen Stelle für die Anforderung und Qualifizierung von Schweißarbeiten für metallische Werkstoffe </w:t>
      </w:r>
    </w:p>
    <w:p w:rsidR="009B08F9" w:rsidRPr="009E3357" w:rsidRDefault="006A3E49" w:rsidP="009B08F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Gutachten </w:t>
      </w:r>
      <w:r w:rsidR="009B08F9" w:rsidRPr="009E3357">
        <w:rPr>
          <w:rFonts w:ascii="Arial" w:hAnsi="Arial" w:cs="Arial"/>
        </w:rPr>
        <w:t xml:space="preserve">eines gem. § </w:t>
      </w:r>
      <w:r w:rsidR="009E3357" w:rsidRPr="009E3357">
        <w:rPr>
          <w:rFonts w:ascii="Arial" w:hAnsi="Arial" w:cs="Arial"/>
        </w:rPr>
        <w:t xml:space="preserve">52 </w:t>
      </w:r>
      <w:proofErr w:type="spellStart"/>
      <w:r w:rsidR="009E3357" w:rsidRPr="009E3357">
        <w:rPr>
          <w:rFonts w:ascii="Arial" w:hAnsi="Arial" w:cs="Arial"/>
        </w:rPr>
        <w:t>AwSV</w:t>
      </w:r>
      <w:proofErr w:type="spellEnd"/>
      <w:r w:rsidR="009B08F9" w:rsidRPr="009E3357">
        <w:rPr>
          <w:rFonts w:ascii="Arial" w:hAnsi="Arial" w:cs="Arial"/>
        </w:rPr>
        <w:t xml:space="preserve"> anerkannten Sachverständigen über die Eignung der Anlage</w:t>
      </w:r>
      <w:r>
        <w:rPr>
          <w:rFonts w:ascii="Arial" w:hAnsi="Arial" w:cs="Arial"/>
        </w:rPr>
        <w:t xml:space="preserve"> </w:t>
      </w:r>
      <w:r w:rsidRPr="00DF71B9">
        <w:rPr>
          <w:rFonts w:ascii="Arial" w:hAnsi="Arial" w:cs="Arial"/>
          <w:u w:val="single"/>
        </w:rPr>
        <w:t>und</w:t>
      </w:r>
      <w:r>
        <w:rPr>
          <w:rFonts w:ascii="Arial" w:hAnsi="Arial" w:cs="Arial"/>
        </w:rPr>
        <w:t xml:space="preserve"> dazugehöriger Anlagenteile</w:t>
      </w:r>
    </w:p>
    <w:p w:rsidR="009B08F9" w:rsidRPr="009B08F9" w:rsidRDefault="009B08F9" w:rsidP="009B08F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9B08F9">
        <w:rPr>
          <w:rFonts w:ascii="Arial" w:hAnsi="Arial" w:cs="Arial"/>
        </w:rPr>
        <w:t xml:space="preserve">Angabe der mit der Errichtung der Anlage bzw. Anlagenteile beauftragten Fachfirmen gem. § </w:t>
      </w:r>
      <w:r w:rsidR="005E4337">
        <w:rPr>
          <w:rFonts w:ascii="Arial" w:hAnsi="Arial" w:cs="Arial"/>
        </w:rPr>
        <w:t>64</w:t>
      </w:r>
      <w:r w:rsidRPr="009B08F9">
        <w:rPr>
          <w:rFonts w:ascii="Arial" w:hAnsi="Arial" w:cs="Arial"/>
        </w:rPr>
        <w:t xml:space="preserve"> der </w:t>
      </w:r>
      <w:proofErr w:type="spellStart"/>
      <w:r w:rsidR="005E4337">
        <w:rPr>
          <w:rFonts w:ascii="Arial" w:hAnsi="Arial" w:cs="Arial"/>
        </w:rPr>
        <w:t>AwSV</w:t>
      </w:r>
      <w:proofErr w:type="spellEnd"/>
      <w:r w:rsidR="005E4337">
        <w:rPr>
          <w:rFonts w:ascii="Arial" w:hAnsi="Arial" w:cs="Arial"/>
        </w:rPr>
        <w:t xml:space="preserve"> </w:t>
      </w:r>
      <w:r w:rsidRPr="009B08F9">
        <w:rPr>
          <w:rFonts w:ascii="Arial" w:hAnsi="Arial" w:cs="Arial"/>
        </w:rPr>
        <w:t>sowie deren Fachbetriebsurkunden</w:t>
      </w:r>
    </w:p>
    <w:p w:rsidR="00854086" w:rsidRDefault="00204F1A" w:rsidP="00854086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B08F9" w:rsidRPr="009B08F9">
        <w:rPr>
          <w:rFonts w:ascii="Arial" w:hAnsi="Arial" w:cs="Arial"/>
        </w:rPr>
        <w:t xml:space="preserve">ktuelle </w:t>
      </w:r>
      <w:proofErr w:type="spellStart"/>
      <w:r w:rsidR="007A4544">
        <w:rPr>
          <w:rFonts w:ascii="Arial" w:hAnsi="Arial" w:cs="Arial"/>
        </w:rPr>
        <w:t>AwSV</w:t>
      </w:r>
      <w:proofErr w:type="spellEnd"/>
      <w:r w:rsidR="007A4544">
        <w:rPr>
          <w:rFonts w:ascii="Arial" w:hAnsi="Arial" w:cs="Arial"/>
        </w:rPr>
        <w:t>-</w:t>
      </w:r>
      <w:r w:rsidR="009B08F9" w:rsidRPr="009B08F9">
        <w:rPr>
          <w:rFonts w:ascii="Arial" w:hAnsi="Arial" w:cs="Arial"/>
        </w:rPr>
        <w:t xml:space="preserve">Prüfberichte von anerkannten Sachverständigen (gem. § </w:t>
      </w:r>
      <w:r w:rsidR="007A4544">
        <w:rPr>
          <w:rFonts w:ascii="Arial" w:hAnsi="Arial" w:cs="Arial"/>
        </w:rPr>
        <w:t xml:space="preserve">52 </w:t>
      </w:r>
      <w:proofErr w:type="spellStart"/>
      <w:r w:rsidR="007A4544">
        <w:rPr>
          <w:rFonts w:ascii="Arial" w:hAnsi="Arial" w:cs="Arial"/>
        </w:rPr>
        <w:t>AwSV</w:t>
      </w:r>
      <w:proofErr w:type="spellEnd"/>
      <w:r w:rsidR="009B08F9" w:rsidRPr="009B08F9">
        <w:rPr>
          <w:rFonts w:ascii="Arial" w:hAnsi="Arial" w:cs="Arial"/>
        </w:rPr>
        <w:t>)</w:t>
      </w:r>
      <w:r>
        <w:rPr>
          <w:rFonts w:ascii="Arial" w:hAnsi="Arial" w:cs="Arial"/>
        </w:rPr>
        <w:t>; Inbetriebnahme- oder wiederkehrende Prüfung</w:t>
      </w:r>
    </w:p>
    <w:p w:rsidR="0046621B" w:rsidRDefault="0046621B" w:rsidP="00854086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Angaben zur Standsicherheit und Festigkeit (Statischer Nachweis)</w:t>
      </w:r>
    </w:p>
    <w:p w:rsidR="007A4544" w:rsidRDefault="007A4544" w:rsidP="00854086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Ggf. Nachweis eines Anfahrschutzes (z.B. bei Fahrzeugverkehr erforderlich)</w:t>
      </w:r>
    </w:p>
    <w:p w:rsidR="0046621B" w:rsidRPr="005E4337" w:rsidRDefault="0046621B" w:rsidP="00854086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5E4337">
        <w:rPr>
          <w:rFonts w:ascii="Arial" w:hAnsi="Arial" w:cs="Arial"/>
        </w:rPr>
        <w:t xml:space="preserve">Betriebsanweisung mit konkreten Anweisungen zum Betrieb (siehe Nr. 6.2 der </w:t>
      </w:r>
      <w:proofErr w:type="spellStart"/>
      <w:r w:rsidRPr="005E4337">
        <w:rPr>
          <w:rFonts w:ascii="Arial" w:hAnsi="Arial" w:cs="Arial"/>
        </w:rPr>
        <w:t>TRwS</w:t>
      </w:r>
      <w:proofErr w:type="spellEnd"/>
      <w:r w:rsidRPr="005E4337">
        <w:rPr>
          <w:rFonts w:ascii="Arial" w:hAnsi="Arial" w:cs="Arial"/>
        </w:rPr>
        <w:t xml:space="preserve"> 779 „Al</w:t>
      </w:r>
      <w:r w:rsidR="002043CD" w:rsidRPr="005E4337">
        <w:rPr>
          <w:rFonts w:ascii="Arial" w:hAnsi="Arial" w:cs="Arial"/>
        </w:rPr>
        <w:t>lgemeine technische Regelungen“ insbesondere der Kontrollen und Maßnahmen für den bestimmungsgemäßen und gestörten Betrieb</w:t>
      </w:r>
    </w:p>
    <w:p w:rsidR="0046621B" w:rsidRDefault="0046621B" w:rsidP="00854086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5E4337">
        <w:rPr>
          <w:rFonts w:ascii="Arial" w:hAnsi="Arial" w:cs="Arial"/>
        </w:rPr>
        <w:lastRenderedPageBreak/>
        <w:t>Alarmplan, Beschreibung der Maßnahmen im Schadensfall, Entsorgung</w:t>
      </w:r>
    </w:p>
    <w:p w:rsidR="00204F1A" w:rsidRPr="005E4337" w:rsidRDefault="00204F1A" w:rsidP="00854086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Aktualisierung der Anlagendokumentation nach § 43 </w:t>
      </w:r>
      <w:proofErr w:type="spellStart"/>
      <w:r>
        <w:rPr>
          <w:rFonts w:ascii="Arial" w:hAnsi="Arial" w:cs="Arial"/>
        </w:rPr>
        <w:t>AwSV</w:t>
      </w:r>
      <w:proofErr w:type="spellEnd"/>
    </w:p>
    <w:p w:rsidR="0046621B" w:rsidRDefault="002043CD" w:rsidP="004662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Es wird empfohlen, sich vor der Antragsstellung mit der für die Eignungsfeststellung zuständigen Behörde in Verbindung zu setzen. </w:t>
      </w:r>
    </w:p>
    <w:p w:rsidR="0046621B" w:rsidRDefault="0046621B" w:rsidP="0046621B">
      <w:pPr>
        <w:rPr>
          <w:rFonts w:ascii="Arial" w:hAnsi="Arial" w:cs="Arial"/>
        </w:rPr>
      </w:pPr>
      <w:r w:rsidRPr="00537C76">
        <w:rPr>
          <w:rFonts w:ascii="Arial" w:hAnsi="Arial" w:cs="Arial"/>
          <w:u w:val="single"/>
        </w:rPr>
        <w:t>Hinweis</w:t>
      </w:r>
      <w:r w:rsidR="007A4544">
        <w:rPr>
          <w:rFonts w:ascii="Arial" w:hAnsi="Arial" w:cs="Arial"/>
          <w:u w:val="single"/>
        </w:rPr>
        <w:t xml:space="preserve"> 1</w:t>
      </w:r>
      <w:r w:rsidRPr="00537C76"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Der Betrieb einer eignungsfeststellungspflichtigen Anlage ohne die erforderliche Eignungsfeststellung ist ordnungswidrig und kann mit einem Bußgeld bis zu einer Höhe von </w:t>
      </w:r>
      <w:r w:rsidR="00A05C84" w:rsidRPr="005E4337">
        <w:rPr>
          <w:rFonts w:ascii="Arial" w:hAnsi="Arial" w:cs="Arial"/>
        </w:rPr>
        <w:t>5</w:t>
      </w:r>
      <w:r w:rsidR="007A4544">
        <w:rPr>
          <w:rFonts w:ascii="Arial" w:hAnsi="Arial" w:cs="Arial"/>
        </w:rPr>
        <w:t>0</w:t>
      </w:r>
      <w:r w:rsidR="00A05C84" w:rsidRPr="005E4337">
        <w:rPr>
          <w:rFonts w:ascii="Arial" w:hAnsi="Arial" w:cs="Arial"/>
        </w:rPr>
        <w:t>.</w:t>
      </w:r>
      <w:r w:rsidR="007A4544">
        <w:rPr>
          <w:rFonts w:ascii="Arial" w:hAnsi="Arial" w:cs="Arial"/>
        </w:rPr>
        <w:t>0</w:t>
      </w:r>
      <w:r w:rsidR="00A05C84" w:rsidRPr="005E4337">
        <w:rPr>
          <w:rFonts w:ascii="Arial" w:hAnsi="Arial" w:cs="Arial"/>
        </w:rPr>
        <w:t xml:space="preserve">00 € </w:t>
      </w:r>
      <w:r w:rsidR="00A05C84">
        <w:rPr>
          <w:rFonts w:ascii="Arial" w:hAnsi="Arial" w:cs="Arial"/>
        </w:rPr>
        <w:t xml:space="preserve">geahndet werden. </w:t>
      </w:r>
    </w:p>
    <w:p w:rsidR="00537253" w:rsidRDefault="007A4544" w:rsidP="0046621B">
      <w:pPr>
        <w:rPr>
          <w:rFonts w:ascii="Arial" w:hAnsi="Arial" w:cs="Arial"/>
        </w:rPr>
      </w:pPr>
      <w:r w:rsidRPr="007A4544">
        <w:rPr>
          <w:rFonts w:ascii="Arial" w:hAnsi="Arial" w:cs="Arial"/>
          <w:u w:val="single"/>
        </w:rPr>
        <w:t>Hinweis 2:</w:t>
      </w:r>
      <w:r w:rsidRPr="007A4544">
        <w:rPr>
          <w:rFonts w:ascii="Arial" w:hAnsi="Arial" w:cs="Arial"/>
        </w:rPr>
        <w:t xml:space="preserve"> Die Eignungsfeststellung schließt Genehmigungen nach anderen Rechtsvorschriften (z.B</w:t>
      </w:r>
      <w:r>
        <w:rPr>
          <w:rFonts w:ascii="Arial" w:hAnsi="Arial" w:cs="Arial"/>
        </w:rPr>
        <w:t>.</w:t>
      </w:r>
      <w:r w:rsidRPr="007A4544">
        <w:rPr>
          <w:rFonts w:ascii="Arial" w:hAnsi="Arial" w:cs="Arial"/>
        </w:rPr>
        <w:t xml:space="preserve"> nach Baurecht- oder BImSchG-Recht) </w:t>
      </w:r>
      <w:r w:rsidRPr="00204F1A">
        <w:rPr>
          <w:rFonts w:ascii="Arial" w:hAnsi="Arial" w:cs="Arial"/>
          <w:u w:val="single"/>
        </w:rPr>
        <w:t>nicht</w:t>
      </w:r>
      <w:r w:rsidRPr="007A4544">
        <w:rPr>
          <w:rFonts w:ascii="Arial" w:hAnsi="Arial" w:cs="Arial"/>
        </w:rPr>
        <w:t xml:space="preserve"> mit ein.</w:t>
      </w:r>
      <w:r w:rsidR="00537253">
        <w:rPr>
          <w:rFonts w:ascii="Arial" w:hAnsi="Arial" w:cs="Arial"/>
        </w:rPr>
        <w:t xml:space="preserve"> Eignungsfeststellung werden jedoch im Rahmen von beispielsweise Genehmigungsverfahren nach den Bundes-Immissionsschutzgesetz mit einkonzentriert.</w:t>
      </w:r>
      <w:bookmarkStart w:id="0" w:name="_GoBack"/>
      <w:bookmarkEnd w:id="0"/>
    </w:p>
    <w:p w:rsidR="00FC1F65" w:rsidRPr="007530EB" w:rsidRDefault="00FC1F65" w:rsidP="00FC1F65">
      <w:pPr>
        <w:pStyle w:val="GesAbsatz"/>
        <w:spacing w:before="100"/>
        <w:textAlignment w:val="baseline"/>
        <w:rPr>
          <w:rFonts w:cs="Arial"/>
          <w:color w:val="auto"/>
          <w:sz w:val="22"/>
          <w:szCs w:val="22"/>
        </w:rPr>
      </w:pPr>
      <w:r w:rsidRPr="00FC1F65">
        <w:rPr>
          <w:rFonts w:cs="Arial"/>
          <w:u w:val="single"/>
        </w:rPr>
        <w:t>Hinweis 3:</w:t>
      </w:r>
      <w:r>
        <w:rPr>
          <w:rFonts w:cs="Arial"/>
        </w:rPr>
        <w:t xml:space="preserve"> </w:t>
      </w:r>
      <w:r w:rsidR="00605ECE">
        <w:rPr>
          <w:rFonts w:cs="Arial"/>
          <w:color w:val="auto"/>
          <w:sz w:val="22"/>
          <w:szCs w:val="22"/>
        </w:rPr>
        <w:t>Eine</w:t>
      </w:r>
      <w:r w:rsidRPr="007530EB">
        <w:rPr>
          <w:rFonts w:cs="Arial"/>
          <w:color w:val="auto"/>
          <w:sz w:val="22"/>
          <w:szCs w:val="22"/>
        </w:rPr>
        <w:t xml:space="preserve"> Bescheinigung nach § 7 Abs. 4 </w:t>
      </w:r>
      <w:proofErr w:type="spellStart"/>
      <w:r w:rsidRPr="007530EB">
        <w:rPr>
          <w:rFonts w:cs="Arial"/>
          <w:color w:val="auto"/>
          <w:sz w:val="22"/>
          <w:szCs w:val="22"/>
        </w:rPr>
        <w:t>VAwS</w:t>
      </w:r>
      <w:proofErr w:type="spellEnd"/>
      <w:r w:rsidRPr="007530EB">
        <w:rPr>
          <w:rFonts w:cs="Arial"/>
          <w:color w:val="auto"/>
          <w:sz w:val="22"/>
          <w:szCs w:val="22"/>
        </w:rPr>
        <w:t xml:space="preserve"> ist in der </w:t>
      </w:r>
      <w:proofErr w:type="spellStart"/>
      <w:r w:rsidRPr="007530EB">
        <w:rPr>
          <w:rFonts w:cs="Arial"/>
          <w:color w:val="auto"/>
          <w:sz w:val="22"/>
          <w:szCs w:val="22"/>
        </w:rPr>
        <w:t>AwSV</w:t>
      </w:r>
      <w:proofErr w:type="spellEnd"/>
      <w:r w:rsidRPr="007530EB">
        <w:rPr>
          <w:rFonts w:cs="Arial"/>
          <w:color w:val="auto"/>
          <w:sz w:val="22"/>
          <w:szCs w:val="22"/>
        </w:rPr>
        <w:t xml:space="preserve"> nicht mehr vorgesehen. </w:t>
      </w:r>
      <w:r>
        <w:rPr>
          <w:rFonts w:cs="Arial"/>
          <w:color w:val="auto"/>
          <w:sz w:val="22"/>
          <w:szCs w:val="22"/>
        </w:rPr>
        <w:t xml:space="preserve">Ebenfalls sieht die </w:t>
      </w:r>
      <w:proofErr w:type="spellStart"/>
      <w:r>
        <w:rPr>
          <w:rFonts w:cs="Arial"/>
          <w:color w:val="auto"/>
          <w:sz w:val="22"/>
          <w:szCs w:val="22"/>
        </w:rPr>
        <w:t>AwSV</w:t>
      </w:r>
      <w:proofErr w:type="spellEnd"/>
      <w:r>
        <w:rPr>
          <w:rFonts w:cs="Arial"/>
          <w:color w:val="auto"/>
          <w:sz w:val="22"/>
          <w:szCs w:val="22"/>
        </w:rPr>
        <w:t xml:space="preserve"> die Einstufung nach „</w:t>
      </w:r>
      <w:proofErr w:type="spellStart"/>
      <w:r>
        <w:rPr>
          <w:rFonts w:cs="Arial"/>
          <w:color w:val="auto"/>
          <w:sz w:val="22"/>
          <w:szCs w:val="22"/>
        </w:rPr>
        <w:t>eoh</w:t>
      </w:r>
      <w:proofErr w:type="spellEnd"/>
      <w:r>
        <w:rPr>
          <w:rFonts w:cs="Arial"/>
          <w:color w:val="auto"/>
          <w:sz w:val="22"/>
          <w:szCs w:val="22"/>
        </w:rPr>
        <w:t xml:space="preserve">“ (Anlagen einfach oder herkömmlicher Art) nicht mehr vor. </w:t>
      </w:r>
      <w:r w:rsidRPr="007530EB">
        <w:rPr>
          <w:rFonts w:cs="Arial"/>
          <w:color w:val="auto"/>
          <w:sz w:val="22"/>
          <w:szCs w:val="22"/>
        </w:rPr>
        <w:t>Hier ist vom Betreiber zu prüfen, ob die Änderung einer Eignungsfeststellung bedarf (§</w:t>
      </w:r>
      <w:r>
        <w:rPr>
          <w:rFonts w:cs="Arial"/>
          <w:color w:val="auto"/>
          <w:sz w:val="22"/>
          <w:szCs w:val="22"/>
        </w:rPr>
        <w:t> </w:t>
      </w:r>
      <w:r w:rsidR="001F1F9E">
        <w:rPr>
          <w:rFonts w:cs="Arial"/>
          <w:color w:val="auto"/>
          <w:sz w:val="22"/>
          <w:szCs w:val="22"/>
        </w:rPr>
        <w:t>63 WHG</w:t>
      </w:r>
      <w:r w:rsidRPr="007530EB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7530EB">
        <w:rPr>
          <w:rFonts w:cs="Arial"/>
          <w:color w:val="auto"/>
          <w:sz w:val="22"/>
          <w:szCs w:val="22"/>
        </w:rPr>
        <w:t>i.V.m</w:t>
      </w:r>
      <w:proofErr w:type="spellEnd"/>
      <w:r w:rsidRPr="007530EB">
        <w:rPr>
          <w:rFonts w:cs="Arial"/>
          <w:color w:val="auto"/>
          <w:sz w:val="22"/>
          <w:szCs w:val="22"/>
        </w:rPr>
        <w:t>. §</w:t>
      </w:r>
      <w:r>
        <w:rPr>
          <w:rFonts w:cs="Arial"/>
          <w:color w:val="auto"/>
          <w:sz w:val="22"/>
          <w:szCs w:val="22"/>
        </w:rPr>
        <w:t> </w:t>
      </w:r>
      <w:r w:rsidRPr="007530EB">
        <w:rPr>
          <w:rFonts w:cs="Arial"/>
          <w:color w:val="auto"/>
          <w:sz w:val="22"/>
          <w:szCs w:val="22"/>
        </w:rPr>
        <w:t xml:space="preserve">42 </w:t>
      </w:r>
      <w:proofErr w:type="spellStart"/>
      <w:r w:rsidRPr="007530EB">
        <w:rPr>
          <w:rFonts w:cs="Arial"/>
          <w:color w:val="auto"/>
          <w:sz w:val="22"/>
          <w:szCs w:val="22"/>
        </w:rPr>
        <w:t>AwSV</w:t>
      </w:r>
      <w:proofErr w:type="spellEnd"/>
      <w:r w:rsidRPr="007530EB">
        <w:rPr>
          <w:rFonts w:cs="Arial"/>
          <w:color w:val="auto"/>
          <w:sz w:val="22"/>
          <w:szCs w:val="22"/>
        </w:rPr>
        <w:t>).</w:t>
      </w:r>
      <w:r>
        <w:rPr>
          <w:rFonts w:cs="Arial"/>
          <w:color w:val="auto"/>
          <w:sz w:val="22"/>
          <w:szCs w:val="22"/>
        </w:rPr>
        <w:t xml:space="preserve"> Eine Abstimmung mit dem </w:t>
      </w:r>
      <w:proofErr w:type="spellStart"/>
      <w:r>
        <w:rPr>
          <w:rFonts w:cs="Arial"/>
          <w:color w:val="auto"/>
          <w:sz w:val="22"/>
          <w:szCs w:val="22"/>
        </w:rPr>
        <w:t>AwSV</w:t>
      </w:r>
      <w:proofErr w:type="spellEnd"/>
      <w:r>
        <w:rPr>
          <w:rFonts w:cs="Arial"/>
          <w:color w:val="auto"/>
          <w:sz w:val="22"/>
          <w:szCs w:val="22"/>
        </w:rPr>
        <w:t>-Sachverständigen wird empfohlen.</w:t>
      </w:r>
    </w:p>
    <w:p w:rsidR="00FC1F65" w:rsidRPr="007A4544" w:rsidRDefault="00FC1F65" w:rsidP="00FC1F65">
      <w:pPr>
        <w:rPr>
          <w:rFonts w:ascii="Arial" w:hAnsi="Arial" w:cs="Arial"/>
          <w:u w:val="single"/>
        </w:rPr>
      </w:pPr>
    </w:p>
    <w:p w:rsidR="00854086" w:rsidRDefault="00537253" w:rsidP="00854086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6" style="width:0;height:1.5pt" o:hralign="center" o:hrstd="t" o:hr="t" fillcolor="#a0a0a0" stroked="f"/>
        </w:pict>
      </w:r>
    </w:p>
    <w:p w:rsidR="00854086" w:rsidRDefault="00854086" w:rsidP="00854086">
      <w:pPr>
        <w:rPr>
          <w:rFonts w:ascii="Arial" w:hAnsi="Arial" w:cs="Arial"/>
        </w:rPr>
      </w:pPr>
    </w:p>
    <w:p w:rsidR="00CB7277" w:rsidRPr="00854086" w:rsidRDefault="00CB7277" w:rsidP="00854086">
      <w:pPr>
        <w:rPr>
          <w:rFonts w:ascii="Arial" w:hAnsi="Arial" w:cs="Arial"/>
        </w:rPr>
      </w:pPr>
    </w:p>
    <w:sectPr w:rsidR="00CB7277" w:rsidRPr="00854086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D0D" w:rsidRDefault="00646D0D" w:rsidP="00646D0D">
      <w:pPr>
        <w:spacing w:after="0" w:line="240" w:lineRule="auto"/>
      </w:pPr>
      <w:r>
        <w:separator/>
      </w:r>
    </w:p>
  </w:endnote>
  <w:endnote w:type="continuationSeparator" w:id="0">
    <w:p w:rsidR="00646D0D" w:rsidRDefault="00646D0D" w:rsidP="0064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68895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46D0D" w:rsidRPr="00646D0D" w:rsidRDefault="00646D0D">
            <w:pPr>
              <w:pStyle w:val="Fuzeile"/>
              <w:jc w:val="right"/>
            </w:pPr>
            <w:r w:rsidRPr="00646D0D">
              <w:rPr>
                <w:bCs/>
                <w:sz w:val="24"/>
                <w:szCs w:val="24"/>
              </w:rPr>
              <w:fldChar w:fldCharType="begin"/>
            </w:r>
            <w:r w:rsidRPr="00646D0D">
              <w:rPr>
                <w:bCs/>
              </w:rPr>
              <w:instrText>PAGE</w:instrText>
            </w:r>
            <w:r w:rsidRPr="00646D0D">
              <w:rPr>
                <w:bCs/>
                <w:sz w:val="24"/>
                <w:szCs w:val="24"/>
              </w:rPr>
              <w:fldChar w:fldCharType="separate"/>
            </w:r>
            <w:r w:rsidR="00537253">
              <w:rPr>
                <w:bCs/>
                <w:noProof/>
              </w:rPr>
              <w:t>3</w:t>
            </w:r>
            <w:r w:rsidRPr="00646D0D">
              <w:rPr>
                <w:bCs/>
                <w:sz w:val="24"/>
                <w:szCs w:val="24"/>
              </w:rPr>
              <w:fldChar w:fldCharType="end"/>
            </w:r>
            <w:r w:rsidRPr="00646D0D">
              <w:t>/</w:t>
            </w:r>
            <w:r w:rsidRPr="00646D0D">
              <w:rPr>
                <w:bCs/>
                <w:sz w:val="24"/>
                <w:szCs w:val="24"/>
              </w:rPr>
              <w:fldChar w:fldCharType="begin"/>
            </w:r>
            <w:r w:rsidRPr="00646D0D">
              <w:rPr>
                <w:bCs/>
              </w:rPr>
              <w:instrText>NUMPAGES</w:instrText>
            </w:r>
            <w:r w:rsidRPr="00646D0D">
              <w:rPr>
                <w:bCs/>
                <w:sz w:val="24"/>
                <w:szCs w:val="24"/>
              </w:rPr>
              <w:fldChar w:fldCharType="separate"/>
            </w:r>
            <w:r w:rsidR="00537253">
              <w:rPr>
                <w:bCs/>
                <w:noProof/>
              </w:rPr>
              <w:t>3</w:t>
            </w:r>
            <w:r w:rsidRPr="00646D0D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46D0D" w:rsidRDefault="00646D0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D0D" w:rsidRDefault="00646D0D" w:rsidP="00646D0D">
      <w:pPr>
        <w:spacing w:after="0" w:line="240" w:lineRule="auto"/>
      </w:pPr>
      <w:r>
        <w:separator/>
      </w:r>
    </w:p>
  </w:footnote>
  <w:footnote w:type="continuationSeparator" w:id="0">
    <w:p w:rsidR="00646D0D" w:rsidRDefault="00646D0D" w:rsidP="00646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354AA"/>
    <w:multiLevelType w:val="hybridMultilevel"/>
    <w:tmpl w:val="88DA85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AF0792"/>
    <w:multiLevelType w:val="hybridMultilevel"/>
    <w:tmpl w:val="2E90C67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F9"/>
    <w:rsid w:val="000E121D"/>
    <w:rsid w:val="001D12C9"/>
    <w:rsid w:val="001F1F9E"/>
    <w:rsid w:val="002043CD"/>
    <w:rsid w:val="00204F1A"/>
    <w:rsid w:val="002C3B61"/>
    <w:rsid w:val="0030036F"/>
    <w:rsid w:val="00324D64"/>
    <w:rsid w:val="00325CD4"/>
    <w:rsid w:val="003678C4"/>
    <w:rsid w:val="004536EC"/>
    <w:rsid w:val="00456366"/>
    <w:rsid w:val="0046621B"/>
    <w:rsid w:val="00537253"/>
    <w:rsid w:val="00537C76"/>
    <w:rsid w:val="005E4337"/>
    <w:rsid w:val="00605ECE"/>
    <w:rsid w:val="00646D0D"/>
    <w:rsid w:val="00670270"/>
    <w:rsid w:val="006A3E49"/>
    <w:rsid w:val="007A4544"/>
    <w:rsid w:val="00843293"/>
    <w:rsid w:val="00854086"/>
    <w:rsid w:val="008F5794"/>
    <w:rsid w:val="009B08F9"/>
    <w:rsid w:val="009E3357"/>
    <w:rsid w:val="00A05C84"/>
    <w:rsid w:val="00AF74F5"/>
    <w:rsid w:val="00B460D3"/>
    <w:rsid w:val="00C92135"/>
    <w:rsid w:val="00CB7277"/>
    <w:rsid w:val="00CF1CE7"/>
    <w:rsid w:val="00DD3FCF"/>
    <w:rsid w:val="00DF71B9"/>
    <w:rsid w:val="00EC4651"/>
    <w:rsid w:val="00F16377"/>
    <w:rsid w:val="00F56D40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B08F9"/>
    <w:pPr>
      <w:ind w:left="720"/>
      <w:contextualSpacing/>
    </w:pPr>
  </w:style>
  <w:style w:type="paragraph" w:customStyle="1" w:styleId="GesAbsatz">
    <w:name w:val="GesAbsatz"/>
    <w:basedOn w:val="Standard"/>
    <w:qFormat/>
    <w:rsid w:val="00B460D3"/>
    <w:pPr>
      <w:tabs>
        <w:tab w:val="left" w:pos="425"/>
      </w:tabs>
      <w:overflowPunct w:val="0"/>
      <w:autoSpaceDE w:val="0"/>
      <w:autoSpaceDN w:val="0"/>
      <w:adjustRightInd w:val="0"/>
      <w:spacing w:before="60" w:after="6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46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6D0D"/>
  </w:style>
  <w:style w:type="paragraph" w:styleId="Fuzeile">
    <w:name w:val="footer"/>
    <w:basedOn w:val="Standard"/>
    <w:link w:val="FuzeileZchn"/>
    <w:uiPriority w:val="99"/>
    <w:unhideWhenUsed/>
    <w:rsid w:val="00646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6D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B08F9"/>
    <w:pPr>
      <w:ind w:left="720"/>
      <w:contextualSpacing/>
    </w:pPr>
  </w:style>
  <w:style w:type="paragraph" w:customStyle="1" w:styleId="GesAbsatz">
    <w:name w:val="GesAbsatz"/>
    <w:basedOn w:val="Standard"/>
    <w:qFormat/>
    <w:rsid w:val="00B460D3"/>
    <w:pPr>
      <w:tabs>
        <w:tab w:val="left" w:pos="425"/>
      </w:tabs>
      <w:overflowPunct w:val="0"/>
      <w:autoSpaceDE w:val="0"/>
      <w:autoSpaceDN w:val="0"/>
      <w:adjustRightInd w:val="0"/>
      <w:spacing w:before="60" w:after="6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46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6D0D"/>
  </w:style>
  <w:style w:type="paragraph" w:styleId="Fuzeile">
    <w:name w:val="footer"/>
    <w:basedOn w:val="Standard"/>
    <w:link w:val="FuzeileZchn"/>
    <w:uiPriority w:val="99"/>
    <w:unhideWhenUsed/>
    <w:rsid w:val="00646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6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62B1E68C.dotm</Template>
  <TotalTime>0</TotalTime>
  <Pages>3</Pages>
  <Words>938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</Company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Compes, Dominic</dc:creator>
  <cp:lastModifiedBy>Tillmann, Michael</cp:lastModifiedBy>
  <cp:revision>3</cp:revision>
  <dcterms:created xsi:type="dcterms:W3CDTF">2017-08-18T14:37:00Z</dcterms:created>
  <dcterms:modified xsi:type="dcterms:W3CDTF">2017-08-29T11:02:00Z</dcterms:modified>
</cp:coreProperties>
</file>