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19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436"/>
        <w:gridCol w:w="4954"/>
        <w:gridCol w:w="3546"/>
      </w:tblGrid>
      <w:tr w:rsidR="00E0215D" w:rsidTr="0075513D">
        <w:tc>
          <w:tcPr>
            <w:tcW w:w="14199" w:type="dxa"/>
            <w:gridSpan w:val="5"/>
          </w:tcPr>
          <w:p w:rsidR="00E0215D" w:rsidRDefault="00E0215D" w:rsidP="00647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Verwaltungsmäßige Abwicklung der Billigkeitsrichtlinie</w:t>
            </w:r>
          </w:p>
        </w:tc>
      </w:tr>
      <w:tr w:rsidR="00C24DE5" w:rsidTr="004B7DDE">
        <w:tc>
          <w:tcPr>
            <w:tcW w:w="2263" w:type="dxa"/>
            <w:gridSpan w:val="2"/>
          </w:tcPr>
          <w:p w:rsidR="00DE6762" w:rsidRPr="00DE6762" w:rsidRDefault="00DE6762" w:rsidP="0064711F">
            <w:pPr>
              <w:jc w:val="center"/>
              <w:rPr>
                <w:rFonts w:ascii="Arial" w:hAnsi="Arial" w:cs="Arial"/>
                <w:b/>
              </w:rPr>
            </w:pPr>
            <w:r w:rsidRPr="00DE6762">
              <w:rPr>
                <w:rFonts w:ascii="Arial" w:hAnsi="Arial" w:cs="Arial"/>
                <w:b/>
              </w:rPr>
              <w:t>Fälle</w:t>
            </w:r>
          </w:p>
        </w:tc>
        <w:tc>
          <w:tcPr>
            <w:tcW w:w="3436" w:type="dxa"/>
          </w:tcPr>
          <w:p w:rsidR="00DE6762" w:rsidRPr="00DE6762" w:rsidRDefault="00DE6762" w:rsidP="0064711F">
            <w:pPr>
              <w:jc w:val="center"/>
              <w:rPr>
                <w:rFonts w:ascii="Arial" w:hAnsi="Arial" w:cs="Arial"/>
                <w:b/>
              </w:rPr>
            </w:pPr>
            <w:r w:rsidRPr="00DE6762">
              <w:rPr>
                <w:rFonts w:ascii="Arial" w:hAnsi="Arial" w:cs="Arial"/>
                <w:b/>
              </w:rPr>
              <w:t>Mittelverwendung</w:t>
            </w:r>
          </w:p>
        </w:tc>
        <w:tc>
          <w:tcPr>
            <w:tcW w:w="4954" w:type="dxa"/>
          </w:tcPr>
          <w:p w:rsidR="00DE6762" w:rsidRPr="00DE6762" w:rsidRDefault="00DE6762" w:rsidP="00647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</w:t>
            </w:r>
            <w:r w:rsidRPr="00DE6762">
              <w:rPr>
                <w:rFonts w:ascii="Arial" w:hAnsi="Arial" w:cs="Arial"/>
                <w:b/>
              </w:rPr>
              <w:t>verfahren</w:t>
            </w:r>
          </w:p>
        </w:tc>
        <w:tc>
          <w:tcPr>
            <w:tcW w:w="3546" w:type="dxa"/>
          </w:tcPr>
          <w:p w:rsidR="00DE6762" w:rsidRDefault="00DE6762" w:rsidP="00647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 Verfahren</w:t>
            </w:r>
          </w:p>
        </w:tc>
      </w:tr>
      <w:tr w:rsidR="00C24DE5" w:rsidTr="004B7DDE">
        <w:tc>
          <w:tcPr>
            <w:tcW w:w="562" w:type="dxa"/>
            <w:vMerge w:val="restart"/>
            <w:tcBorders>
              <w:bottom w:val="nil"/>
            </w:tcBorders>
          </w:tcPr>
          <w:p w:rsidR="004B7DDE" w:rsidRDefault="004B7DDE" w:rsidP="00A7337B">
            <w:pPr>
              <w:jc w:val="center"/>
              <w:rPr>
                <w:rFonts w:ascii="Arial" w:hAnsi="Arial" w:cs="Arial"/>
              </w:rPr>
            </w:pP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G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R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U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N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D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S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A</w:t>
            </w:r>
          </w:p>
          <w:p w:rsidR="004B7DDE" w:rsidRPr="004B7DDE" w:rsidRDefault="004B7DDE" w:rsidP="00A7337B">
            <w:pPr>
              <w:jc w:val="center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T</w:t>
            </w:r>
          </w:p>
          <w:p w:rsidR="00C45AF3" w:rsidRPr="00DE6762" w:rsidRDefault="004B7DDE" w:rsidP="00A7337B">
            <w:pPr>
              <w:jc w:val="center"/>
              <w:rPr>
                <w:rFonts w:ascii="Arial" w:hAnsi="Arial" w:cs="Arial"/>
              </w:rPr>
            </w:pPr>
            <w:r w:rsidRPr="004B7DD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1701" w:type="dxa"/>
          </w:tcPr>
          <w:p w:rsidR="00C45AF3" w:rsidRPr="00DE6762" w:rsidRDefault="00C45AF3" w:rsidP="00DE6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DE6762">
              <w:rPr>
                <w:rFonts w:ascii="Arial" w:hAnsi="Arial" w:cs="Arial"/>
              </w:rPr>
              <w:t>Fall I</w:t>
            </w:r>
          </w:p>
        </w:tc>
        <w:tc>
          <w:tcPr>
            <w:tcW w:w="3436" w:type="dxa"/>
            <w:shd w:val="clear" w:color="auto" w:fill="FF0000"/>
          </w:tcPr>
          <w:p w:rsidR="00C45AF3" w:rsidRPr="00DE6762" w:rsidRDefault="00C45AF3" w:rsidP="00E0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Auftragserteilung </w:t>
            </w:r>
            <w:r w:rsidR="00E03667">
              <w:rPr>
                <w:rFonts w:ascii="Arial" w:hAnsi="Arial" w:cs="Arial"/>
              </w:rPr>
              <w:br/>
            </w:r>
            <w:r w:rsidRPr="00DE6762">
              <w:rPr>
                <w:rFonts w:ascii="Arial" w:hAnsi="Arial" w:cs="Arial"/>
              </w:rPr>
              <w:t>wirtschaftlich</w:t>
            </w:r>
            <w:r>
              <w:rPr>
                <w:rFonts w:ascii="Arial" w:hAnsi="Arial" w:cs="Arial"/>
              </w:rPr>
              <w:t>e</w:t>
            </w:r>
            <w:r w:rsidR="00E0366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Bereich </w:t>
            </w:r>
          </w:p>
        </w:tc>
        <w:tc>
          <w:tcPr>
            <w:tcW w:w="4954" w:type="dxa"/>
          </w:tcPr>
          <w:p w:rsidR="00C45AF3" w:rsidRPr="00DE6762" w:rsidRDefault="00E03667" w:rsidP="00E0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der Kommune selbst </w:t>
            </w:r>
            <w:r w:rsidR="00C45AF3">
              <w:rPr>
                <w:rFonts w:ascii="Arial" w:hAnsi="Arial" w:cs="Arial"/>
              </w:rPr>
              <w:t>muss eine De-Minimis</w:t>
            </w:r>
            <w:bookmarkStart w:id="0" w:name="_GoBack"/>
            <w:bookmarkEnd w:id="0"/>
            <w:r w:rsidR="00C45AF3">
              <w:rPr>
                <w:rFonts w:ascii="Arial" w:hAnsi="Arial" w:cs="Arial"/>
              </w:rPr>
              <w:t xml:space="preserve">-Erklärung </w:t>
            </w:r>
            <w:r>
              <w:rPr>
                <w:rFonts w:ascii="Arial" w:hAnsi="Arial" w:cs="Arial"/>
              </w:rPr>
              <w:t xml:space="preserve">abgegeben werden und diese mit Antragstellung </w:t>
            </w:r>
            <w:r w:rsidR="00C45AF3"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</w:rPr>
              <w:t>gereicht werden</w:t>
            </w:r>
            <w:r w:rsidR="00C45AF3">
              <w:rPr>
                <w:rFonts w:ascii="Arial" w:hAnsi="Arial" w:cs="Arial"/>
              </w:rPr>
              <w:t>.</w:t>
            </w:r>
            <w:r w:rsidR="00C45AF3">
              <w:rPr>
                <w:rFonts w:ascii="Arial" w:hAnsi="Arial" w:cs="Arial"/>
              </w:rPr>
              <w:br/>
              <w:t xml:space="preserve">BRA erstellt De-Minimis-Bescheinigung. </w:t>
            </w:r>
          </w:p>
        </w:tc>
        <w:tc>
          <w:tcPr>
            <w:tcW w:w="3546" w:type="dxa"/>
          </w:tcPr>
          <w:p w:rsidR="00C45AF3" w:rsidRDefault="00C45AF3" w:rsidP="00DE6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C24DE5" w:rsidTr="004B7DDE">
        <w:tc>
          <w:tcPr>
            <w:tcW w:w="562" w:type="dxa"/>
            <w:vMerge/>
            <w:tcBorders>
              <w:bottom w:val="nil"/>
            </w:tcBorders>
          </w:tcPr>
          <w:p w:rsidR="00C45AF3" w:rsidRPr="00DE6762" w:rsidRDefault="00C45AF3" w:rsidP="00A6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45AF3" w:rsidRPr="00DE6762" w:rsidRDefault="00C45AF3" w:rsidP="003B0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Fall II</w:t>
            </w:r>
          </w:p>
        </w:tc>
        <w:tc>
          <w:tcPr>
            <w:tcW w:w="3436" w:type="dxa"/>
            <w:shd w:val="clear" w:color="auto" w:fill="FF0000"/>
          </w:tcPr>
          <w:p w:rsidR="00C45AF3" w:rsidRPr="00DE6762" w:rsidRDefault="00C45AF3" w:rsidP="004E7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Weiterleitung</w:t>
            </w:r>
            <w:r w:rsidR="004E714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an </w:t>
            </w:r>
            <w:proofErr w:type="spellStart"/>
            <w:r w:rsidR="004E714F">
              <w:rPr>
                <w:rFonts w:ascii="Arial" w:hAnsi="Arial" w:cs="Arial"/>
              </w:rPr>
              <w:t>kommunlae</w:t>
            </w:r>
            <w:proofErr w:type="spellEnd"/>
            <w:r w:rsidR="004E714F">
              <w:rPr>
                <w:rFonts w:ascii="Arial" w:hAnsi="Arial" w:cs="Arial"/>
              </w:rPr>
              <w:t xml:space="preserve"> Einheiten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C45AF3" w:rsidRPr="00DE6762" w:rsidRDefault="00C45AF3" w:rsidP="005D1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muss vom Begünstigten eine De-Minimis-Erklärung einfordern und diese mit Antragstellung einreichen.</w:t>
            </w:r>
            <w:r>
              <w:rPr>
                <w:rFonts w:ascii="Arial" w:hAnsi="Arial" w:cs="Arial"/>
              </w:rPr>
              <w:br/>
              <w:t xml:space="preserve">BRA erstellt De-Minimis-Bescheinigung. </w:t>
            </w:r>
          </w:p>
        </w:tc>
        <w:tc>
          <w:tcPr>
            <w:tcW w:w="3546" w:type="dxa"/>
          </w:tcPr>
          <w:p w:rsidR="00C45AF3" w:rsidRDefault="00C45AF3" w:rsidP="00002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C24DE5" w:rsidTr="004B7DDE">
        <w:trPr>
          <w:trHeight w:val="925"/>
        </w:trPr>
        <w:tc>
          <w:tcPr>
            <w:tcW w:w="562" w:type="dxa"/>
            <w:vMerge/>
            <w:tcBorders>
              <w:bottom w:val="nil"/>
            </w:tcBorders>
          </w:tcPr>
          <w:p w:rsidR="00C45AF3" w:rsidRPr="00DE6762" w:rsidRDefault="00C45AF3" w:rsidP="00A6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45AF3" w:rsidRPr="00DE6762" w:rsidRDefault="00C45AF3" w:rsidP="00A73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Fall III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C45AF3" w:rsidRPr="00DE6762" w:rsidRDefault="00C45AF3" w:rsidP="004B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Auftragserteilung </w:t>
            </w:r>
            <w:r w:rsidR="0052272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nicht wirtschaftlicher Bereich</w:t>
            </w:r>
            <w:r w:rsidR="004B7DDE">
              <w:rPr>
                <w:rFonts w:ascii="Arial" w:hAnsi="Arial" w:cs="Arial"/>
              </w:rPr>
              <w:br/>
            </w:r>
            <w:r w:rsidR="004B7DDE"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C45AF3" w:rsidRPr="00DE6762" w:rsidRDefault="00C45AF3" w:rsidP="00B2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B2452E">
              <w:rPr>
                <w:rFonts w:ascii="Arial" w:hAnsi="Arial" w:cs="Arial"/>
              </w:rPr>
              <w:sym w:font="Wingdings" w:char="F04A"/>
            </w:r>
            <w:r w:rsidRPr="00B2452E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C45AF3" w:rsidRPr="00DE6762" w:rsidRDefault="00C45AF3" w:rsidP="00002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3B0E01" w:rsidTr="0075513D">
        <w:trPr>
          <w:trHeight w:val="280"/>
        </w:trPr>
        <w:tc>
          <w:tcPr>
            <w:tcW w:w="14199" w:type="dxa"/>
            <w:gridSpan w:val="5"/>
            <w:shd w:val="clear" w:color="auto" w:fill="BDD6EE" w:themeFill="accent1" w:themeFillTint="66"/>
          </w:tcPr>
          <w:p w:rsidR="003B0E01" w:rsidRPr="003B0E01" w:rsidRDefault="003B0E01" w:rsidP="003B0E01">
            <w:pPr>
              <w:jc w:val="center"/>
              <w:rPr>
                <w:rFonts w:ascii="Arial" w:hAnsi="Arial" w:cs="Arial"/>
                <w:b/>
              </w:rPr>
            </w:pPr>
            <w:r w:rsidRPr="003B0E01">
              <w:rPr>
                <w:rFonts w:ascii="Arial" w:hAnsi="Arial" w:cs="Arial"/>
                <w:b/>
              </w:rPr>
              <w:t>Verwendung der Kompensationsleistungen nach Nr. 3 der Richtlinie</w:t>
            </w:r>
          </w:p>
        </w:tc>
      </w:tr>
      <w:tr w:rsidR="00AE1A7F" w:rsidTr="004B7DDE">
        <w:tc>
          <w:tcPr>
            <w:tcW w:w="562" w:type="dxa"/>
            <w:vMerge w:val="restart"/>
          </w:tcPr>
          <w:p w:rsidR="00AE1A7F" w:rsidRPr="004B7DDE" w:rsidRDefault="00AE1A7F" w:rsidP="00724E83">
            <w:pPr>
              <w:rPr>
                <w:rFonts w:ascii="Arial" w:hAnsi="Arial" w:cs="Arial"/>
                <w:b/>
              </w:rPr>
            </w:pPr>
          </w:p>
          <w:p w:rsidR="00AE1A7F" w:rsidRPr="004B7DDE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4B7DDE">
              <w:rPr>
                <w:rFonts w:ascii="Arial" w:hAnsi="Arial" w:cs="Arial"/>
                <w:b/>
              </w:rPr>
              <w:t>A</w:t>
            </w:r>
            <w:r w:rsidRPr="004B7DDE">
              <w:rPr>
                <w:rFonts w:ascii="Arial" w:hAnsi="Arial" w:cs="Arial"/>
                <w:b/>
              </w:rPr>
              <w:br/>
              <w:t>N</w:t>
            </w:r>
            <w:r w:rsidRPr="00B378F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378FE">
              <w:rPr>
                <w:rFonts w:ascii="Arial" w:hAnsi="Arial" w:cs="Arial"/>
                <w:b/>
              </w:rPr>
              <w:br/>
            </w:r>
            <w:r w:rsidRPr="004B7DDE">
              <w:rPr>
                <w:rFonts w:ascii="Arial" w:hAnsi="Arial" w:cs="Arial"/>
                <w:b/>
              </w:rPr>
              <w:t>E</w:t>
            </w:r>
            <w:r w:rsidRPr="004B7DDE">
              <w:rPr>
                <w:rFonts w:ascii="Arial" w:hAnsi="Arial" w:cs="Arial"/>
                <w:b/>
              </w:rPr>
              <w:br/>
              <w:t>N</w:t>
            </w:r>
            <w:r w:rsidRPr="004B7DDE">
              <w:rPr>
                <w:rFonts w:ascii="Arial" w:hAnsi="Arial" w:cs="Arial"/>
                <w:b/>
              </w:rPr>
              <w:br/>
              <w:t>D</w:t>
            </w:r>
            <w:r w:rsidRPr="004B7DDE">
              <w:rPr>
                <w:rFonts w:ascii="Arial" w:hAnsi="Arial" w:cs="Arial"/>
                <w:b/>
              </w:rPr>
              <w:br/>
              <w:t>U</w:t>
            </w:r>
            <w:r w:rsidRPr="004B7DDE">
              <w:rPr>
                <w:rFonts w:ascii="Arial" w:hAnsi="Arial" w:cs="Arial"/>
                <w:b/>
              </w:rPr>
              <w:br/>
              <w:t>N</w:t>
            </w:r>
            <w:r w:rsidRPr="004B7DDE">
              <w:rPr>
                <w:rFonts w:ascii="Arial" w:hAnsi="Arial" w:cs="Arial"/>
                <w:b/>
              </w:rPr>
              <w:br/>
              <w:t>G</w:t>
            </w:r>
            <w:r w:rsidRPr="004B7DDE">
              <w:rPr>
                <w:rFonts w:ascii="Arial" w:hAnsi="Arial" w:cs="Arial"/>
                <w:b/>
              </w:rPr>
              <w:br/>
              <w:t>S</w:t>
            </w:r>
            <w:r w:rsidRPr="004B7DDE">
              <w:rPr>
                <w:rFonts w:ascii="Arial" w:hAnsi="Arial" w:cs="Arial"/>
                <w:b/>
              </w:rPr>
              <w:br/>
              <w:t>F</w:t>
            </w:r>
            <w:r w:rsidRPr="004B7DDE">
              <w:rPr>
                <w:rFonts w:ascii="Arial" w:hAnsi="Arial" w:cs="Arial"/>
                <w:b/>
              </w:rPr>
              <w:br/>
              <w:t>Ä</w:t>
            </w:r>
            <w:r w:rsidRPr="004B7DDE">
              <w:rPr>
                <w:rFonts w:ascii="Arial" w:hAnsi="Arial" w:cs="Arial"/>
                <w:b/>
              </w:rPr>
              <w:br/>
              <w:t>L</w:t>
            </w:r>
            <w:r w:rsidRPr="004B7DDE">
              <w:rPr>
                <w:rFonts w:ascii="Arial" w:hAnsi="Arial" w:cs="Arial"/>
                <w:b/>
              </w:rPr>
              <w:br/>
              <w:t>L</w:t>
            </w:r>
            <w:r w:rsidRPr="004B7DDE">
              <w:rPr>
                <w:rFonts w:ascii="Arial" w:hAnsi="Arial" w:cs="Arial"/>
                <w:b/>
              </w:rPr>
              <w:br/>
              <w:t>E</w:t>
            </w:r>
          </w:p>
        </w:tc>
        <w:tc>
          <w:tcPr>
            <w:tcW w:w="1701" w:type="dxa"/>
          </w:tcPr>
          <w:p w:rsidR="00AE1A7F" w:rsidRDefault="00AE1A7F" w:rsidP="004B7DDE">
            <w:pPr>
              <w:ind w:lef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AE1A7F" w:rsidRDefault="00AE1A7F" w:rsidP="00010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Verringerung des kommunalen Anteils durch Nutzung des Förderprogramms progres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D5D3B">
              <w:rPr>
                <w:rFonts w:ascii="Arial" w:hAnsi="Arial" w:cs="Arial"/>
              </w:rPr>
              <w:sym w:font="Wingdings" w:char="F04A"/>
            </w:r>
            <w:r w:rsidRPr="00AD5D3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AE1A7F" w:rsidTr="004B7DDE">
        <w:tc>
          <w:tcPr>
            <w:tcW w:w="562" w:type="dxa"/>
            <w:vMerge/>
          </w:tcPr>
          <w:p w:rsidR="00AE1A7F" w:rsidRDefault="00AE1A7F" w:rsidP="00724E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1A7F" w:rsidRDefault="00AE1A7F" w:rsidP="004B7DDE">
            <w:pPr>
              <w:ind w:lef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AE1A7F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Investitionsbegleitende Maßnahmen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D5D3B">
              <w:rPr>
                <w:rFonts w:ascii="Arial" w:hAnsi="Arial" w:cs="Arial"/>
              </w:rPr>
              <w:sym w:font="Wingdings" w:char="F04A"/>
            </w:r>
            <w:r w:rsidRPr="00AD5D3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AE1A7F" w:rsidTr="004B7DDE">
        <w:tc>
          <w:tcPr>
            <w:tcW w:w="562" w:type="dxa"/>
            <w:vMerge/>
          </w:tcPr>
          <w:p w:rsidR="00AE1A7F" w:rsidRDefault="00AE1A7F" w:rsidP="00724E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1A7F" w:rsidRDefault="00AE1A7F" w:rsidP="004B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a) </w:t>
            </w:r>
            <w:r>
              <w:rPr>
                <w:rFonts w:ascii="Arial" w:hAnsi="Arial" w:cs="Arial"/>
              </w:rPr>
              <w:br/>
              <w:t>der Richtlinie</w:t>
            </w:r>
          </w:p>
          <w:p w:rsidR="00AE1A7F" w:rsidRDefault="00AE1A7F" w:rsidP="00724E83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  <w:shd w:val="clear" w:color="auto" w:fill="FF0000"/>
          </w:tcPr>
          <w:p w:rsidR="00AE1A7F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Photovoltaik, Bio- und Windenergie </w:t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Antragstellung muss eine De-Minimis-Erklärung eingereicht werden.</w:t>
            </w:r>
            <w:r>
              <w:rPr>
                <w:rFonts w:ascii="Arial" w:hAnsi="Arial" w:cs="Arial"/>
              </w:rPr>
              <w:br/>
              <w:t>BRA erstellt De-Minimis-Bescheinigung.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AE1A7F" w:rsidTr="004B7DDE">
        <w:tc>
          <w:tcPr>
            <w:tcW w:w="562" w:type="dxa"/>
            <w:vMerge/>
          </w:tcPr>
          <w:p w:rsidR="00AE1A7F" w:rsidRDefault="00AE1A7F" w:rsidP="004B7D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1A7F" w:rsidRDefault="00AE1A7F" w:rsidP="004B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a)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AE1A7F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Wärmepumpen, Solarthermie und Geothermie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D5D3B">
              <w:rPr>
                <w:rFonts w:ascii="Arial" w:hAnsi="Arial" w:cs="Arial"/>
              </w:rPr>
              <w:sym w:font="Wingdings" w:char="F04A"/>
            </w:r>
            <w:r w:rsidRPr="00AD5D3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AE1A7F" w:rsidTr="004B7DDE">
        <w:trPr>
          <w:trHeight w:val="983"/>
        </w:trPr>
        <w:tc>
          <w:tcPr>
            <w:tcW w:w="562" w:type="dxa"/>
            <w:vMerge/>
          </w:tcPr>
          <w:p w:rsidR="00AE1A7F" w:rsidRPr="004B7DDE" w:rsidRDefault="00AE1A7F" w:rsidP="004B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1A7F" w:rsidRDefault="00AE1A7F" w:rsidP="004B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b)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AE1A7F" w:rsidRDefault="00AE1A7F" w:rsidP="00B3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 Eigenverbrauch</w:t>
            </w:r>
            <w:r>
              <w:rPr>
                <w:rFonts w:ascii="Arial" w:hAnsi="Arial" w:cs="Arial"/>
              </w:rPr>
              <w:br/>
              <w:t>(</w:t>
            </w:r>
            <w:r w:rsidR="00B35676">
              <w:rPr>
                <w:rFonts w:ascii="Arial" w:hAnsi="Arial" w:cs="Arial"/>
              </w:rPr>
              <w:t>max. 20% einspeisen)</w:t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464FB">
              <w:rPr>
                <w:rFonts w:ascii="Arial" w:hAnsi="Arial" w:cs="Arial"/>
              </w:rPr>
              <w:sym w:font="Wingdings" w:char="F04A"/>
            </w:r>
            <w:r w:rsidRPr="00F464F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AE1A7F" w:rsidTr="00AE1A7F">
        <w:tc>
          <w:tcPr>
            <w:tcW w:w="562" w:type="dxa"/>
            <w:vMerge/>
          </w:tcPr>
          <w:p w:rsidR="00AE1A7F" w:rsidRDefault="00AE1A7F" w:rsidP="00724E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1A7F" w:rsidRDefault="00AE1A7F" w:rsidP="00215EAE">
            <w:pPr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c) </w:t>
            </w:r>
            <w:r w:rsidR="00215EA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der R</w:t>
            </w:r>
            <w:r w:rsidR="00215EAE">
              <w:rPr>
                <w:rFonts w:ascii="Arial" w:hAnsi="Arial" w:cs="Arial"/>
              </w:rPr>
              <w:t>ichtlinie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FF0000"/>
          </w:tcPr>
          <w:p w:rsidR="00AE1A7F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 auf kommunalen Hallen bzw. Bushaltestellen</w:t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Antragstellung muss eine De-Minimis-Erklärung eingereicht werden.</w:t>
            </w:r>
            <w:r>
              <w:rPr>
                <w:rFonts w:ascii="Arial" w:hAnsi="Arial" w:cs="Arial"/>
              </w:rPr>
              <w:br/>
              <w:t>BRA erstellt De-Minimis-Bescheinigung.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AE1A7F" w:rsidTr="00AE1A7F">
        <w:tc>
          <w:tcPr>
            <w:tcW w:w="562" w:type="dxa"/>
            <w:vMerge/>
          </w:tcPr>
          <w:p w:rsidR="00AE1A7F" w:rsidRDefault="00AE1A7F" w:rsidP="00724E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1A7F" w:rsidRDefault="00AE1A7F" w:rsidP="00215EAE">
            <w:pPr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d) </w:t>
            </w:r>
            <w:r w:rsidR="00215EA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der R</w:t>
            </w:r>
            <w:r w:rsidR="00215EAE">
              <w:rPr>
                <w:rFonts w:ascii="Arial" w:hAnsi="Arial" w:cs="Arial"/>
              </w:rPr>
              <w:t>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AE1A7F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 von kommunalen Einrichtungen durch Dritte für EE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AE1A7F" w:rsidRPr="00DE6762" w:rsidRDefault="00AE1A7F" w:rsidP="0072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464FB">
              <w:rPr>
                <w:rFonts w:ascii="Arial" w:hAnsi="Arial" w:cs="Arial"/>
              </w:rPr>
              <w:sym w:font="Wingdings" w:char="F04A"/>
            </w:r>
            <w:r w:rsidRPr="00F464F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AE1A7F" w:rsidRPr="00DE6762" w:rsidRDefault="00AE1A7F" w:rsidP="0072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 w:val="restart"/>
          </w:tcPr>
          <w:p w:rsidR="00215EAE" w:rsidRPr="004B7DDE" w:rsidRDefault="00215EAE" w:rsidP="00215EAE">
            <w:pPr>
              <w:rPr>
                <w:rFonts w:ascii="Arial" w:hAnsi="Arial" w:cs="Arial"/>
                <w:b/>
              </w:rPr>
            </w:pPr>
          </w:p>
          <w:p w:rsidR="00215EAE" w:rsidRPr="004B7DD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4B7DDE">
              <w:rPr>
                <w:rFonts w:ascii="Arial" w:hAnsi="Arial" w:cs="Arial"/>
                <w:b/>
              </w:rPr>
              <w:t>A</w:t>
            </w:r>
            <w:r w:rsidRPr="004B7DDE">
              <w:rPr>
                <w:rFonts w:ascii="Arial" w:hAnsi="Arial" w:cs="Arial"/>
                <w:b/>
              </w:rPr>
              <w:br/>
              <w:t>N</w:t>
            </w:r>
            <w:r w:rsidRPr="00B378F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378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B7DDE">
              <w:rPr>
                <w:rFonts w:ascii="Arial" w:hAnsi="Arial" w:cs="Arial"/>
                <w:b/>
              </w:rPr>
              <w:t>E</w:t>
            </w:r>
            <w:r w:rsidRPr="004B7DDE">
              <w:rPr>
                <w:rFonts w:ascii="Arial" w:hAnsi="Arial" w:cs="Arial"/>
                <w:b/>
              </w:rPr>
              <w:br/>
              <w:t>N</w:t>
            </w:r>
            <w:r w:rsidRPr="004B7DDE">
              <w:rPr>
                <w:rFonts w:ascii="Arial" w:hAnsi="Arial" w:cs="Arial"/>
                <w:b/>
              </w:rPr>
              <w:br/>
              <w:t>D</w:t>
            </w:r>
            <w:r w:rsidRPr="004B7DDE">
              <w:rPr>
                <w:rFonts w:ascii="Arial" w:hAnsi="Arial" w:cs="Arial"/>
                <w:b/>
              </w:rPr>
              <w:br/>
              <w:t>U</w:t>
            </w:r>
            <w:r w:rsidRPr="004B7DDE">
              <w:rPr>
                <w:rFonts w:ascii="Arial" w:hAnsi="Arial" w:cs="Arial"/>
                <w:b/>
              </w:rPr>
              <w:br/>
              <w:t>N</w:t>
            </w:r>
            <w:r w:rsidRPr="004B7DDE">
              <w:rPr>
                <w:rFonts w:ascii="Arial" w:hAnsi="Arial" w:cs="Arial"/>
                <w:b/>
              </w:rPr>
              <w:br/>
              <w:t>G</w:t>
            </w:r>
            <w:r w:rsidRPr="004B7DDE">
              <w:rPr>
                <w:rFonts w:ascii="Arial" w:hAnsi="Arial" w:cs="Arial"/>
                <w:b/>
              </w:rPr>
              <w:br/>
              <w:t>S</w:t>
            </w:r>
            <w:r w:rsidRPr="004B7DDE">
              <w:rPr>
                <w:rFonts w:ascii="Arial" w:hAnsi="Arial" w:cs="Arial"/>
                <w:b/>
              </w:rPr>
              <w:br/>
              <w:t>F</w:t>
            </w:r>
            <w:r w:rsidRPr="004B7DDE">
              <w:rPr>
                <w:rFonts w:ascii="Arial" w:hAnsi="Arial" w:cs="Arial"/>
                <w:b/>
              </w:rPr>
              <w:br/>
              <w:t>Ä</w:t>
            </w:r>
            <w:r w:rsidRPr="004B7DDE">
              <w:rPr>
                <w:rFonts w:ascii="Arial" w:hAnsi="Arial" w:cs="Arial"/>
                <w:b/>
              </w:rPr>
              <w:br/>
              <w:t>L</w:t>
            </w:r>
            <w:r w:rsidRPr="004B7DDE">
              <w:rPr>
                <w:rFonts w:ascii="Arial" w:hAnsi="Arial" w:cs="Arial"/>
                <w:b/>
              </w:rPr>
              <w:br/>
              <w:t>L</w:t>
            </w:r>
            <w:r w:rsidRPr="004B7DDE">
              <w:rPr>
                <w:rFonts w:ascii="Arial" w:hAnsi="Arial" w:cs="Arial"/>
                <w:b/>
              </w:rPr>
              <w:br/>
              <w:t>E</w:t>
            </w:r>
          </w:p>
        </w:tc>
        <w:tc>
          <w:tcPr>
            <w:tcW w:w="1701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="00B378FE">
              <w:rPr>
                <w:rFonts w:ascii="Arial" w:hAnsi="Arial" w:cs="Arial"/>
              </w:rPr>
              <w:t>a-f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Energetische Sanierung</w:t>
            </w:r>
          </w:p>
        </w:tc>
        <w:tc>
          <w:tcPr>
            <w:tcW w:w="4954" w:type="dxa"/>
          </w:tcPr>
          <w:p w:rsidR="00215EAE" w:rsidRPr="00DE6762" w:rsidRDefault="00215EAE" w:rsidP="0021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464FB">
              <w:rPr>
                <w:rFonts w:ascii="Arial" w:hAnsi="Arial" w:cs="Arial"/>
              </w:rPr>
              <w:sym w:font="Wingdings" w:char="F04A"/>
            </w:r>
            <w:r w:rsidRPr="00F464F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br/>
              <w:t>Keine beihilferechtliche Bedeutung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546" w:type="dxa"/>
          </w:tcPr>
          <w:p w:rsidR="00215EAE" w:rsidRPr="00DE6762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a)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Radwegebau, Abstellmöglichkeiten für Fahrräder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215EAE" w:rsidRPr="00DE6762" w:rsidRDefault="00215EAE" w:rsidP="0021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21079">
              <w:rPr>
                <w:rFonts w:ascii="Arial" w:hAnsi="Arial" w:cs="Arial"/>
              </w:rPr>
              <w:sym w:font="Wingdings" w:char="F04A"/>
            </w:r>
            <w:r w:rsidRPr="00A21079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br/>
              <w:t xml:space="preserve"> keine beihilferechtliche Bedeutung</w:t>
            </w:r>
          </w:p>
        </w:tc>
        <w:tc>
          <w:tcPr>
            <w:tcW w:w="3546" w:type="dxa"/>
          </w:tcPr>
          <w:p w:rsidR="00215EAE" w:rsidRPr="00DE6762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  <w:shd w:val="clear" w:color="auto" w:fill="FF0000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Lademöglichkeiten</w:t>
            </w:r>
            <w:r w:rsidR="009D696D">
              <w:rPr>
                <w:rFonts w:ascii="Arial" w:hAnsi="Arial" w:cs="Arial"/>
              </w:rPr>
              <w:t xml:space="preserve"> ÖLIS</w:t>
            </w:r>
          </w:p>
        </w:tc>
        <w:tc>
          <w:tcPr>
            <w:tcW w:w="4954" w:type="dxa"/>
          </w:tcPr>
          <w:p w:rsidR="00215EAE" w:rsidRPr="00DE6762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Antragstellung muss eine De-Minimis-Erklärung eingereicht werden.</w:t>
            </w:r>
            <w:r>
              <w:rPr>
                <w:rFonts w:ascii="Arial" w:hAnsi="Arial" w:cs="Arial"/>
              </w:rPr>
              <w:br/>
              <w:t>BRA erstellt De-Minimis-Bescheinigung.</w:t>
            </w:r>
          </w:p>
        </w:tc>
        <w:tc>
          <w:tcPr>
            <w:tcW w:w="3546" w:type="dxa"/>
          </w:tcPr>
          <w:p w:rsidR="00215EAE" w:rsidRPr="00DE6762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b)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FF0000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Schaffung von Mobilitätsstationen</w:t>
            </w:r>
            <w:r>
              <w:rPr>
                <w:rFonts w:ascii="Arial" w:hAnsi="Arial" w:cs="Arial"/>
              </w:rPr>
              <w:br/>
              <w:t>Sharing Stationen</w:t>
            </w:r>
          </w:p>
        </w:tc>
        <w:tc>
          <w:tcPr>
            <w:tcW w:w="4954" w:type="dxa"/>
          </w:tcPr>
          <w:p w:rsidR="00215EAE" w:rsidRPr="00DE6762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Antragstellung muss eine De-Minimis-Erklärung eingereicht werden.</w:t>
            </w:r>
            <w:r>
              <w:rPr>
                <w:rFonts w:ascii="Arial" w:hAnsi="Arial" w:cs="Arial"/>
              </w:rPr>
              <w:br/>
              <w:t>BRA erstellt De-Minimis-Bescheinigung.</w:t>
            </w:r>
          </w:p>
        </w:tc>
        <w:tc>
          <w:tcPr>
            <w:tcW w:w="3546" w:type="dxa"/>
          </w:tcPr>
          <w:p w:rsidR="00215EAE" w:rsidRPr="00DE6762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c)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Mobilität in der Verwaltung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215EAE" w:rsidRDefault="00215EAE" w:rsidP="0021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21079">
              <w:rPr>
                <w:rFonts w:ascii="Arial" w:hAnsi="Arial" w:cs="Arial"/>
              </w:rPr>
              <w:sym w:font="Wingdings" w:char="F04A"/>
            </w:r>
            <w:r w:rsidRPr="00A21079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Pr="00AE1A7F" w:rsidRDefault="00215EAE" w:rsidP="00215E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d)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215EAE" w:rsidRDefault="00215EAE" w:rsidP="009D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ÖLIS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215EAE" w:rsidRDefault="00215EAE" w:rsidP="0021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21079">
              <w:rPr>
                <w:rFonts w:ascii="Arial" w:hAnsi="Arial" w:cs="Arial"/>
              </w:rPr>
              <w:sym w:font="Wingdings" w:char="F04A"/>
            </w:r>
            <w:r w:rsidRPr="00A21079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IT, Beschaffung klimaverträglicher Produkte, Hilfsmittel zur Verminderung des Ressourcenverbrauchs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215EAE" w:rsidRPr="00A21079" w:rsidRDefault="00215EAE" w:rsidP="0021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21079">
              <w:rPr>
                <w:rFonts w:ascii="Arial" w:hAnsi="Arial" w:cs="Arial"/>
              </w:rPr>
              <w:sym w:font="Wingdings" w:char="F04A"/>
            </w:r>
            <w:r w:rsidRPr="00A21079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  <w:tr w:rsidR="00215EAE" w:rsidTr="00AE1A7F">
        <w:tc>
          <w:tcPr>
            <w:tcW w:w="562" w:type="dxa"/>
            <w:vMerge/>
          </w:tcPr>
          <w:p w:rsidR="00215EAE" w:rsidRDefault="00215EAE" w:rsidP="00215E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 </w:t>
            </w:r>
            <w:r>
              <w:rPr>
                <w:rFonts w:ascii="Arial" w:hAnsi="Arial" w:cs="Arial"/>
              </w:rPr>
              <w:br/>
              <w:t>der Richtlinie</w:t>
            </w:r>
          </w:p>
        </w:tc>
        <w:tc>
          <w:tcPr>
            <w:tcW w:w="3436" w:type="dxa"/>
            <w:shd w:val="clear" w:color="auto" w:fill="A8D08D" w:themeFill="accent6" w:themeFillTint="99"/>
          </w:tcPr>
          <w:p w:rsidR="00215EAE" w:rsidRDefault="00215EAE" w:rsidP="009D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Bürgerförderprogramme</w:t>
            </w:r>
            <w:r>
              <w:rPr>
                <w:rFonts w:ascii="Arial" w:hAnsi="Arial" w:cs="Arial"/>
              </w:rPr>
              <w:br/>
            </w:r>
            <w:r w:rsidR="009D696D">
              <w:rPr>
                <w:rFonts w:ascii="Arial" w:hAnsi="Arial" w:cs="Arial"/>
              </w:rPr>
              <w:t>(sofern keine Unternehmen)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4" w:type="dxa"/>
          </w:tcPr>
          <w:p w:rsidR="00215EAE" w:rsidRPr="00A21079" w:rsidRDefault="00215EAE" w:rsidP="0021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21079">
              <w:rPr>
                <w:rFonts w:ascii="Arial" w:hAnsi="Arial" w:cs="Arial"/>
              </w:rPr>
              <w:sym w:font="Wingdings" w:char="F04A"/>
            </w:r>
            <w:r w:rsidRPr="00A21079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Keine beihilferechtliche Bedeutung</w:t>
            </w:r>
          </w:p>
        </w:tc>
        <w:tc>
          <w:tcPr>
            <w:tcW w:w="3546" w:type="dxa"/>
          </w:tcPr>
          <w:p w:rsidR="00215EAE" w:rsidRDefault="00215EAE" w:rsidP="0021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des HVB über die antragskonforme Umsetzung.</w:t>
            </w:r>
          </w:p>
        </w:tc>
      </w:tr>
    </w:tbl>
    <w:p w:rsidR="00FE039D" w:rsidRDefault="00FE039D"/>
    <w:sectPr w:rsidR="00FE039D" w:rsidSect="00AE1A7F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62"/>
    <w:rsid w:val="00002E01"/>
    <w:rsid w:val="00006B0C"/>
    <w:rsid w:val="00010EB4"/>
    <w:rsid w:val="000C0916"/>
    <w:rsid w:val="001146B6"/>
    <w:rsid w:val="00212F8E"/>
    <w:rsid w:val="00215EAE"/>
    <w:rsid w:val="002A7F7A"/>
    <w:rsid w:val="002D10D5"/>
    <w:rsid w:val="00332145"/>
    <w:rsid w:val="0037032F"/>
    <w:rsid w:val="00372453"/>
    <w:rsid w:val="003B0E01"/>
    <w:rsid w:val="003D2B32"/>
    <w:rsid w:val="00452431"/>
    <w:rsid w:val="004B7DDE"/>
    <w:rsid w:val="004E714F"/>
    <w:rsid w:val="0052272E"/>
    <w:rsid w:val="005356C1"/>
    <w:rsid w:val="00572574"/>
    <w:rsid w:val="005D10AA"/>
    <w:rsid w:val="00607E7A"/>
    <w:rsid w:val="0064711F"/>
    <w:rsid w:val="00700FCE"/>
    <w:rsid w:val="00724E83"/>
    <w:rsid w:val="007301D9"/>
    <w:rsid w:val="0075513D"/>
    <w:rsid w:val="00900C34"/>
    <w:rsid w:val="009D696D"/>
    <w:rsid w:val="009E735A"/>
    <w:rsid w:val="00A21079"/>
    <w:rsid w:val="00A61543"/>
    <w:rsid w:val="00A7337B"/>
    <w:rsid w:val="00A86178"/>
    <w:rsid w:val="00AD5D3B"/>
    <w:rsid w:val="00AE1A7F"/>
    <w:rsid w:val="00AE5941"/>
    <w:rsid w:val="00B2452E"/>
    <w:rsid w:val="00B26DD3"/>
    <w:rsid w:val="00B35676"/>
    <w:rsid w:val="00B378FE"/>
    <w:rsid w:val="00C24DE5"/>
    <w:rsid w:val="00C45AF3"/>
    <w:rsid w:val="00C659F3"/>
    <w:rsid w:val="00DD3CCA"/>
    <w:rsid w:val="00DD7FE2"/>
    <w:rsid w:val="00DE6762"/>
    <w:rsid w:val="00E0215D"/>
    <w:rsid w:val="00E03667"/>
    <w:rsid w:val="00E2129E"/>
    <w:rsid w:val="00E731EF"/>
    <w:rsid w:val="00F353B9"/>
    <w:rsid w:val="00F464FB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649A"/>
  <w15:chartTrackingRefBased/>
  <w15:docId w15:val="{67C670B0-9F81-4AFE-92F6-46FC9FB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Reis, Burkhard</dc:creator>
  <cp:keywords/>
  <dc:description/>
  <cp:lastModifiedBy>von Reis, Burkhard</cp:lastModifiedBy>
  <cp:revision>20</cp:revision>
  <cp:lastPrinted>2022-09-27T07:26:00Z</cp:lastPrinted>
  <dcterms:created xsi:type="dcterms:W3CDTF">2022-09-28T06:34:00Z</dcterms:created>
  <dcterms:modified xsi:type="dcterms:W3CDTF">2022-10-05T12:12:00Z</dcterms:modified>
</cp:coreProperties>
</file>